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A752">
      <w:pPr>
        <w:pStyle w:val="20"/>
        <w:spacing w:line="600" w:lineRule="auto"/>
        <w:jc w:val="center"/>
        <w:rPr>
          <w:rFonts w:hint="eastAsia" w:ascii="黑体" w:hAnsi="宋体"/>
          <w:bCs/>
          <w:color w:val="auto"/>
          <w:sz w:val="48"/>
          <w:highlight w:val="none"/>
          <w:lang w:eastAsia="zh-CN"/>
        </w:rPr>
      </w:pPr>
    </w:p>
    <w:p w14:paraId="4B8C9A62">
      <w:pPr>
        <w:pStyle w:val="20"/>
        <w:spacing w:line="600" w:lineRule="auto"/>
        <w:jc w:val="center"/>
        <w:rPr>
          <w:rFonts w:hint="eastAsia" w:ascii="仿宋" w:hAnsi="仿宋" w:eastAsia="仿宋" w:cs="仿宋"/>
          <w:b/>
          <w:bCs w:val="0"/>
          <w:color w:val="auto"/>
          <w:sz w:val="44"/>
          <w:szCs w:val="18"/>
          <w:highlight w:val="none"/>
          <w:lang w:val="en-US" w:eastAsia="zh-CN"/>
        </w:rPr>
      </w:pPr>
      <w:r>
        <w:rPr>
          <w:rFonts w:hint="eastAsia" w:ascii="仿宋" w:hAnsi="仿宋" w:eastAsia="仿宋" w:cs="仿宋"/>
          <w:b/>
          <w:bCs w:val="0"/>
          <w:color w:val="auto"/>
          <w:sz w:val="40"/>
          <w:szCs w:val="16"/>
          <w:highlight w:val="none"/>
          <w:lang w:val="en-US" w:eastAsia="zh-CN"/>
        </w:rPr>
        <w:t>登封市人民中医院信息化建设项目采购方案（二期）</w:t>
      </w:r>
    </w:p>
    <w:p w14:paraId="5778A160">
      <w:pPr>
        <w:bidi w:val="0"/>
        <w:jc w:val="both"/>
        <w:rPr>
          <w:rFonts w:hint="eastAsia"/>
          <w:color w:val="auto"/>
          <w:sz w:val="84"/>
          <w:szCs w:val="84"/>
          <w:highlight w:val="none"/>
        </w:rPr>
      </w:pPr>
    </w:p>
    <w:p w14:paraId="067D01EA">
      <w:pPr>
        <w:bidi w:val="0"/>
        <w:jc w:val="center"/>
        <w:rPr>
          <w:color w:val="auto"/>
          <w:sz w:val="60"/>
          <w:szCs w:val="60"/>
          <w:highlight w:val="none"/>
        </w:rPr>
      </w:pPr>
      <w:r>
        <w:rPr>
          <w:rFonts w:hint="eastAsia"/>
          <w:color w:val="auto"/>
          <w:sz w:val="60"/>
          <w:szCs w:val="60"/>
          <w:highlight w:val="none"/>
          <w:lang w:val="en-US" w:eastAsia="zh-CN"/>
        </w:rPr>
        <w:t>招标</w:t>
      </w:r>
      <w:r>
        <w:rPr>
          <w:rFonts w:hint="eastAsia"/>
          <w:color w:val="auto"/>
          <w:sz w:val="60"/>
          <w:szCs w:val="60"/>
          <w:highlight w:val="none"/>
        </w:rPr>
        <w:t>文件</w:t>
      </w:r>
    </w:p>
    <w:p w14:paraId="42BE4CE5">
      <w:pPr>
        <w:pStyle w:val="20"/>
        <w:spacing w:line="360" w:lineRule="auto"/>
        <w:ind w:left="210" w:right="210"/>
        <w:jc w:val="center"/>
        <w:rPr>
          <w:rFonts w:ascii="宋体" w:hAnsi="宋体" w:eastAsia="宋体"/>
          <w:b/>
          <w:bCs/>
          <w:color w:val="auto"/>
          <w:sz w:val="28"/>
          <w:szCs w:val="28"/>
          <w:highlight w:val="none"/>
        </w:rPr>
      </w:pPr>
    </w:p>
    <w:p w14:paraId="177BF2BF">
      <w:pPr>
        <w:pStyle w:val="20"/>
        <w:spacing w:line="360" w:lineRule="auto"/>
        <w:ind w:left="210" w:right="210"/>
        <w:jc w:val="center"/>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项目编号: 登封采购-2024-171</w:t>
      </w:r>
    </w:p>
    <w:p w14:paraId="3388E18E">
      <w:pPr>
        <w:rPr>
          <w:rFonts w:hint="eastAsia" w:ascii="宋体" w:hAnsi="宋体" w:eastAsia="宋体"/>
          <w:b/>
          <w:bCs/>
          <w:color w:val="auto"/>
          <w:highlight w:val="none"/>
          <w:lang w:eastAsia="zh-CN"/>
        </w:rPr>
      </w:pPr>
    </w:p>
    <w:p w14:paraId="4DA3B141">
      <w:pPr>
        <w:pStyle w:val="47"/>
        <w:rPr>
          <w:rFonts w:hint="eastAsia" w:ascii="宋体" w:hAnsi="宋体" w:eastAsia="宋体"/>
          <w:b/>
          <w:bCs/>
          <w:color w:val="auto"/>
          <w:highlight w:val="none"/>
          <w:lang w:eastAsia="zh-CN"/>
        </w:rPr>
      </w:pPr>
      <w:r>
        <w:rPr>
          <w:rFonts w:hint="eastAsia" w:ascii="宋体" w:hAnsi="宋体" w:cs="宋体"/>
          <w:color w:val="auto"/>
          <w:sz w:val="24"/>
          <w:highlight w:val="none"/>
        </w:rPr>
        <w:drawing>
          <wp:anchor distT="0" distB="0" distL="114300" distR="114300" simplePos="0" relativeHeight="251660288" behindDoc="0" locked="0" layoutInCell="1" allowOverlap="1">
            <wp:simplePos x="0" y="0"/>
            <wp:positionH relativeFrom="column">
              <wp:posOffset>2496820</wp:posOffset>
            </wp:positionH>
            <wp:positionV relativeFrom="paragraph">
              <wp:posOffset>179705</wp:posOffset>
            </wp:positionV>
            <wp:extent cx="1800860" cy="1560830"/>
            <wp:effectExtent l="0" t="0" r="8890" b="1270"/>
            <wp:wrapSquare wrapText="bothSides"/>
            <wp:docPr id="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
                    <pic:cNvPicPr>
                      <a:picLocks noChangeAspect="1"/>
                    </pic:cNvPicPr>
                  </pic:nvPicPr>
                  <pic:blipFill>
                    <a:blip r:embed="rId12" cstate="print"/>
                    <a:stretch>
                      <a:fillRect/>
                    </a:stretch>
                  </pic:blipFill>
                  <pic:spPr>
                    <a:xfrm>
                      <a:off x="0" y="0"/>
                      <a:ext cx="1800860" cy="1560830"/>
                    </a:xfrm>
                    <a:prstGeom prst="rect">
                      <a:avLst/>
                    </a:prstGeom>
                    <a:noFill/>
                    <a:ln>
                      <a:noFill/>
                    </a:ln>
                  </pic:spPr>
                </pic:pic>
              </a:graphicData>
            </a:graphic>
          </wp:anchor>
        </w:drawing>
      </w:r>
    </w:p>
    <w:p w14:paraId="510EE94E">
      <w:pPr>
        <w:pStyle w:val="47"/>
        <w:rPr>
          <w:rFonts w:hint="eastAsia" w:ascii="宋体" w:hAnsi="宋体" w:eastAsia="宋体"/>
          <w:b/>
          <w:bCs/>
          <w:color w:val="auto"/>
          <w:highlight w:val="none"/>
          <w:lang w:eastAsia="zh-CN"/>
        </w:rPr>
      </w:pPr>
    </w:p>
    <w:p w14:paraId="51649DEE">
      <w:pPr>
        <w:spacing w:line="360" w:lineRule="auto"/>
        <w:jc w:val="both"/>
        <w:rPr>
          <w:rFonts w:ascii="宋体" w:hAnsi="宋体"/>
          <w:color w:val="auto"/>
          <w:sz w:val="24"/>
          <w:highlight w:val="none"/>
        </w:rPr>
      </w:pPr>
    </w:p>
    <w:p w14:paraId="4D8D33B5">
      <w:pPr>
        <w:tabs>
          <w:tab w:val="left" w:pos="7860"/>
        </w:tabs>
        <w:spacing w:line="360" w:lineRule="auto"/>
        <w:rPr>
          <w:rFonts w:ascii="宋体" w:hAnsi="宋体"/>
          <w:color w:val="auto"/>
          <w:sz w:val="32"/>
          <w:szCs w:val="32"/>
          <w:highlight w:val="none"/>
        </w:rPr>
      </w:pPr>
    </w:p>
    <w:p w14:paraId="235A6F6E">
      <w:pPr>
        <w:tabs>
          <w:tab w:val="left" w:pos="7860"/>
        </w:tabs>
        <w:spacing w:line="360" w:lineRule="auto"/>
        <w:ind w:firstLine="1744" w:firstLineChars="545"/>
        <w:rPr>
          <w:rFonts w:ascii="宋体" w:hAnsi="宋体"/>
          <w:color w:val="auto"/>
          <w:sz w:val="32"/>
          <w:szCs w:val="32"/>
          <w:highlight w:val="none"/>
        </w:rPr>
      </w:pPr>
    </w:p>
    <w:p w14:paraId="294E2F4D">
      <w:pPr>
        <w:rPr>
          <w:color w:val="auto"/>
          <w:highlight w:val="none"/>
        </w:rPr>
      </w:pPr>
      <w:bookmarkStart w:id="0" w:name="_Toc317670457"/>
      <w:bookmarkStart w:id="1" w:name="_Toc317668979"/>
      <w:bookmarkStart w:id="2" w:name="_Toc276230894"/>
      <w:bookmarkStart w:id="3" w:name="_Toc276229536"/>
      <w:bookmarkStart w:id="4" w:name="_Toc144974401"/>
      <w:bookmarkStart w:id="5" w:name="_Toc152047197"/>
    </w:p>
    <w:p w14:paraId="410462F1">
      <w:pPr>
        <w:spacing w:line="360" w:lineRule="auto"/>
        <w:jc w:val="both"/>
        <w:rPr>
          <w:rFonts w:hint="eastAsia" w:asciiTheme="minorEastAsia" w:hAnsiTheme="minorEastAsia" w:eastAsiaTheme="minorEastAsia" w:cstheme="minorEastAsia"/>
          <w:color w:val="auto"/>
          <w:sz w:val="36"/>
          <w:szCs w:val="36"/>
          <w:highlight w:val="none"/>
        </w:rPr>
      </w:pPr>
    </w:p>
    <w:p w14:paraId="41360ED0">
      <w:pPr>
        <w:pStyle w:val="47"/>
        <w:rPr>
          <w:rFonts w:hint="eastAsia" w:asciiTheme="minorEastAsia" w:hAnsiTheme="minorEastAsia" w:eastAsiaTheme="minorEastAsia" w:cstheme="minorEastAsia"/>
          <w:color w:val="auto"/>
          <w:sz w:val="36"/>
          <w:szCs w:val="36"/>
          <w:highlight w:val="none"/>
        </w:rPr>
      </w:pPr>
    </w:p>
    <w:p w14:paraId="7379911D">
      <w:pPr>
        <w:pStyle w:val="47"/>
        <w:rPr>
          <w:rFonts w:hint="eastAsia" w:asciiTheme="minorEastAsia" w:hAnsiTheme="minorEastAsia" w:eastAsiaTheme="minorEastAsia" w:cstheme="minorEastAsia"/>
          <w:color w:val="auto"/>
          <w:sz w:val="36"/>
          <w:szCs w:val="36"/>
          <w:highlight w:val="none"/>
        </w:rPr>
      </w:pPr>
    </w:p>
    <w:p w14:paraId="29CA015A">
      <w:pPr>
        <w:spacing w:line="360" w:lineRule="auto"/>
        <w:ind w:firstLine="2520" w:firstLineChars="700"/>
        <w:jc w:val="both"/>
        <w:rPr>
          <w:rFonts w:hint="eastAsia" w:ascii="黑体" w:hAnsi="宋体" w:eastAsiaTheme="minorEastAsia"/>
          <w:bCs/>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采</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购</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人：</w:t>
      </w:r>
      <w:r>
        <w:rPr>
          <w:rFonts w:hint="eastAsia" w:asciiTheme="minorEastAsia" w:hAnsiTheme="minorEastAsia" w:eastAsiaTheme="minorEastAsia" w:cstheme="minorEastAsia"/>
          <w:color w:val="auto"/>
          <w:sz w:val="36"/>
          <w:szCs w:val="36"/>
          <w:highlight w:val="none"/>
          <w:lang w:val="en-US" w:eastAsia="zh-CN"/>
        </w:rPr>
        <w:t>登封市人民中医院</w:t>
      </w:r>
    </w:p>
    <w:p w14:paraId="2889AEC2">
      <w:pPr>
        <w:pStyle w:val="7"/>
        <w:spacing w:line="360" w:lineRule="auto"/>
        <w:jc w:val="center"/>
        <w:rPr>
          <w:rFonts w:ascii="黑体" w:hAnsi="宋体" w:eastAsia="黑体"/>
          <w:color w:val="auto"/>
          <w:sz w:val="36"/>
          <w:szCs w:val="36"/>
          <w:highlight w:val="none"/>
        </w:rPr>
      </w:pP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代理机构：智博国际工程咨询有限公司</w:t>
      </w:r>
    </w:p>
    <w:p w14:paraId="76388B6E">
      <w:pPr>
        <w:spacing w:line="360" w:lineRule="auto"/>
        <w:ind w:firstLine="2520" w:firstLineChars="700"/>
        <w:jc w:val="both"/>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lang w:val="en-US" w:eastAsia="zh-CN"/>
        </w:rPr>
        <w:t>日    期：</w:t>
      </w: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四</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十一</w:t>
      </w:r>
      <w:r>
        <w:rPr>
          <w:rFonts w:hint="eastAsia" w:asciiTheme="minorEastAsia" w:hAnsiTheme="minorEastAsia" w:eastAsiaTheme="minorEastAsia" w:cstheme="minorEastAsia"/>
          <w:color w:val="auto"/>
          <w:sz w:val="36"/>
          <w:szCs w:val="36"/>
          <w:highlight w:val="none"/>
        </w:rPr>
        <w:t>月</w:t>
      </w:r>
    </w:p>
    <w:p w14:paraId="085F37B9">
      <w:pPr>
        <w:jc w:val="center"/>
        <w:rPr>
          <w:rFonts w:ascii="宋体" w:hAnsi="宋体"/>
          <w:color w:val="auto"/>
          <w:sz w:val="44"/>
          <w:szCs w:val="44"/>
          <w:highlight w:val="none"/>
        </w:rPr>
      </w:pPr>
      <w:r>
        <w:rPr>
          <w:rFonts w:ascii="宋体" w:hAnsi="宋体"/>
          <w:color w:val="auto"/>
          <w:sz w:val="36"/>
          <w:szCs w:val="32"/>
          <w:highlight w:val="none"/>
        </w:rPr>
        <w:br w:type="page"/>
      </w:r>
      <w:r>
        <w:rPr>
          <w:rFonts w:hint="eastAsia" w:ascii="宋体" w:hAnsi="宋体"/>
          <w:color w:val="auto"/>
          <w:sz w:val="48"/>
          <w:szCs w:val="48"/>
          <w:highlight w:val="none"/>
        </w:rPr>
        <w:t>目  录</w:t>
      </w:r>
      <w:bookmarkEnd w:id="0"/>
    </w:p>
    <w:p w14:paraId="2596579B">
      <w:pPr>
        <w:pStyle w:val="20"/>
        <w:tabs>
          <w:tab w:val="right" w:leader="dot" w:pos="9439"/>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"_Toc26563"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705697">
      <w:pPr>
        <w:pStyle w:val="20"/>
        <w:tabs>
          <w:tab w:val="right" w:leader="dot" w:pos="9439"/>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225124">
      <w:pPr>
        <w:pStyle w:val="20"/>
        <w:tabs>
          <w:tab w:val="right" w:leader="dot" w:pos="9439"/>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"_Toc30031"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评标办法（综合评分法）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_Toc30031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B1F75E">
      <w:pPr>
        <w:pStyle w:val="20"/>
        <w:tabs>
          <w:tab w:val="right" w:leader="dot" w:pos="9439"/>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合同条款及格式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1951C1">
      <w:pPr>
        <w:pStyle w:val="20"/>
        <w:tabs>
          <w:tab w:val="right" w:leader="dot" w:pos="9439"/>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"_Toc7675"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技术标准及要求项目实施地点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_Toc7675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96A18D">
      <w:pPr>
        <w:pStyle w:val="20"/>
        <w:tabs>
          <w:tab w:val="right" w:leader="dot" w:pos="9439"/>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_Toc26084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A6A3F69">
      <w:pPr>
        <w:pStyle w:val="25"/>
        <w:tabs>
          <w:tab w:val="right" w:leader="dot" w:pos="9439"/>
          <w:tab w:val="clear" w:pos="9435"/>
        </w:tabs>
        <w:spacing w:line="440" w:lineRule="exact"/>
        <w:ind w:left="0" w:leftChars="0"/>
        <w:rPr>
          <w:rFonts w:hint="eastAsia" w:ascii="宋体" w:hAnsi="宋体" w:eastAsia="宋体" w:cs="宋体"/>
          <w:color w:val="auto"/>
          <w:sz w:val="21"/>
          <w:szCs w:val="21"/>
          <w:highlight w:val="none"/>
        </w:rPr>
      </w:pPr>
    </w:p>
    <w:p w14:paraId="757B6601">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15C1B0F4">
      <w:pPr>
        <w:pStyle w:val="2"/>
        <w:spacing w:before="0" w:after="120"/>
        <w:rPr>
          <w:rFonts w:ascii="宋体" w:hAnsi="宋体"/>
          <w:b/>
          <w:color w:val="auto"/>
          <w:kern w:val="2"/>
          <w:sz w:val="32"/>
          <w:szCs w:val="32"/>
          <w:highlight w:val="none"/>
        </w:rPr>
      </w:pPr>
      <w:r>
        <w:rPr>
          <w:rFonts w:ascii="宋体" w:hAnsi="宋体"/>
          <w:color w:val="auto"/>
          <w:sz w:val="24"/>
          <w:szCs w:val="24"/>
          <w:highlight w:val="none"/>
        </w:rPr>
        <w:br w:type="page"/>
      </w:r>
      <w:bookmarkStart w:id="6" w:name="_Toc26563"/>
      <w:r>
        <w:rPr>
          <w:rStyle w:val="53"/>
          <w:rFonts w:hint="eastAsia" w:ascii="宋体" w:hAnsi="宋体" w:eastAsia="宋体" w:cs="宋体"/>
          <w:b/>
          <w:bCs/>
          <w:color w:val="auto"/>
          <w:highlight w:val="none"/>
        </w:rPr>
        <w:t xml:space="preserve">第一章  </w:t>
      </w:r>
      <w:bookmarkEnd w:id="1"/>
      <w:bookmarkEnd w:id="2"/>
      <w:bookmarkEnd w:id="3"/>
      <w:r>
        <w:rPr>
          <w:rStyle w:val="53"/>
          <w:rFonts w:hint="eastAsia" w:ascii="宋体" w:hAnsi="宋体" w:eastAsia="宋体" w:cs="宋体"/>
          <w:b/>
          <w:bCs/>
          <w:color w:val="auto"/>
          <w:highlight w:val="none"/>
        </w:rPr>
        <w:t>招标公告</w:t>
      </w:r>
      <w:bookmarkEnd w:id="6"/>
    </w:p>
    <w:bookmarkEnd w:id="4"/>
    <w:bookmarkEnd w:id="5"/>
    <w:p w14:paraId="5EE7940C">
      <w:pPr>
        <w:spacing w:line="360" w:lineRule="auto"/>
        <w:jc w:val="center"/>
        <w:rPr>
          <w:rFonts w:hint="eastAsia" w:ascii="宋体" w:hAnsi="宋体" w:eastAsia="宋体" w:cs="宋体"/>
          <w:b/>
          <w:bCs/>
          <w:color w:val="auto"/>
          <w:sz w:val="21"/>
          <w:szCs w:val="21"/>
          <w:highlight w:val="none"/>
        </w:rPr>
      </w:pPr>
      <w:bookmarkStart w:id="249" w:name="_GoBack"/>
      <w:bookmarkStart w:id="7" w:name="_Toc192327709"/>
      <w:bookmarkEnd w:id="7"/>
      <w:bookmarkStart w:id="8" w:name="_Toc192386368"/>
      <w:bookmarkEnd w:id="8"/>
      <w:bookmarkStart w:id="9" w:name="_Toc192327752"/>
      <w:bookmarkEnd w:id="9"/>
      <w:bookmarkStart w:id="10" w:name="_Toc276229537"/>
      <w:bookmarkStart w:id="11" w:name="_Toc276230895"/>
      <w:bookmarkStart w:id="12" w:name="_Toc317668980"/>
      <w:bookmarkStart w:id="13" w:name="_Toc192386385"/>
      <w:r>
        <w:rPr>
          <w:rFonts w:hint="eastAsia" w:ascii="宋体" w:hAnsi="宋体" w:eastAsia="宋体" w:cs="宋体"/>
          <w:b/>
          <w:bCs/>
          <w:color w:val="auto"/>
          <w:sz w:val="21"/>
          <w:szCs w:val="21"/>
          <w:highlight w:val="none"/>
          <w:lang w:val="en-US" w:eastAsia="zh-CN"/>
        </w:rPr>
        <w:t>登封市人民中医院信息化建设项目采购方案（二期）</w:t>
      </w:r>
      <w:r>
        <w:rPr>
          <w:rFonts w:hint="eastAsia" w:ascii="宋体" w:hAnsi="宋体" w:eastAsia="宋体" w:cs="宋体"/>
          <w:b/>
          <w:bCs/>
          <w:color w:val="auto"/>
          <w:sz w:val="21"/>
          <w:szCs w:val="21"/>
          <w:highlight w:val="none"/>
        </w:rPr>
        <w:t>公开招标公告</w:t>
      </w:r>
    </w:p>
    <w:p w14:paraId="5CE6980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p>
    <w:p w14:paraId="0733A6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登封市人民中医院信息化建设项目采购方案（二期）</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sz w:val="21"/>
          <w:szCs w:val="21"/>
          <w:highlight w:val="none"/>
          <w:lang w:val="en-US" w:eastAsia="zh-CN"/>
        </w:rPr>
        <w:t>登封</w:t>
      </w:r>
      <w:r>
        <w:rPr>
          <w:rFonts w:hint="eastAsia" w:ascii="宋体" w:hAnsi="宋体" w:eastAsia="宋体" w:cs="宋体"/>
          <w:color w:val="auto"/>
          <w:sz w:val="21"/>
          <w:szCs w:val="21"/>
          <w:highlight w:val="none"/>
        </w:rPr>
        <w:t>市公共资源交易中心（http://dfggzyjy.dengfeng.gov.cn）获取</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文件，并于202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24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09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 30</w:t>
      </w:r>
      <w:r>
        <w:rPr>
          <w:rFonts w:hint="eastAsia" w:ascii="宋体" w:hAnsi="宋体" w:eastAsia="宋体" w:cs="宋体"/>
          <w:color w:val="auto"/>
          <w:sz w:val="21"/>
          <w:szCs w:val="21"/>
          <w:highlight w:val="none"/>
        </w:rPr>
        <w:t>分（北京时间）前递交投标文件。</w:t>
      </w:r>
    </w:p>
    <w:p w14:paraId="72EC37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14:paraId="6D45A757">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1、项目编号：</w:t>
      </w:r>
      <w:r>
        <w:rPr>
          <w:rFonts w:hint="eastAsia" w:ascii="宋体" w:hAnsi="宋体" w:eastAsia="宋体" w:cs="宋体"/>
          <w:color w:val="auto"/>
          <w:sz w:val="21"/>
          <w:szCs w:val="21"/>
          <w:highlight w:val="none"/>
          <w:lang w:val="en-US" w:eastAsia="zh-CN"/>
        </w:rPr>
        <w:t>登封采购-2024-171</w:t>
      </w:r>
    </w:p>
    <w:p w14:paraId="7AA4A5A0">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2、项目名称：</w:t>
      </w:r>
      <w:r>
        <w:rPr>
          <w:rFonts w:hint="eastAsia" w:ascii="宋体" w:hAnsi="宋体" w:eastAsia="宋体" w:cs="宋体"/>
          <w:color w:val="auto"/>
          <w:sz w:val="21"/>
          <w:szCs w:val="21"/>
          <w:highlight w:val="none"/>
          <w:lang w:val="en-US" w:eastAsia="zh-CN"/>
        </w:rPr>
        <w:t xml:space="preserve">登封市人民中医院信息化建设项目采购方案（二期） </w:t>
      </w:r>
    </w:p>
    <w:p w14:paraId="0EF713C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3、采购方式：公开招标</w:t>
      </w:r>
    </w:p>
    <w:p w14:paraId="3F299A6C">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2720000.00</w:t>
      </w:r>
      <w:r>
        <w:rPr>
          <w:rFonts w:hint="eastAsia" w:ascii="宋体" w:hAnsi="宋体" w:eastAsia="宋体" w:cs="宋体"/>
          <w:color w:val="auto"/>
          <w:sz w:val="21"/>
          <w:szCs w:val="21"/>
          <w:highlight w:val="none"/>
          <w:lang w:eastAsia="zh-CN"/>
        </w:rPr>
        <w:t>元；最高投标限价：</w:t>
      </w:r>
      <w:r>
        <w:rPr>
          <w:rFonts w:hint="eastAsia" w:ascii="宋体" w:hAnsi="宋体" w:cs="宋体"/>
          <w:color w:val="auto"/>
          <w:sz w:val="21"/>
          <w:szCs w:val="21"/>
          <w:highlight w:val="none"/>
          <w:lang w:val="en-US" w:eastAsia="zh-CN"/>
        </w:rPr>
        <w:t>2720000.00</w:t>
      </w:r>
      <w:r>
        <w:rPr>
          <w:rFonts w:hint="eastAsia" w:ascii="宋体" w:hAnsi="宋体" w:eastAsia="宋体" w:cs="宋体"/>
          <w:color w:val="auto"/>
          <w:sz w:val="21"/>
          <w:szCs w:val="21"/>
          <w:highlight w:val="none"/>
          <w:lang w:eastAsia="zh-CN"/>
        </w:rPr>
        <w:t>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721"/>
        <w:gridCol w:w="1841"/>
        <w:gridCol w:w="1554"/>
        <w:gridCol w:w="1585"/>
        <w:gridCol w:w="1135"/>
        <w:gridCol w:w="1554"/>
      </w:tblGrid>
      <w:tr w14:paraId="4856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528" w:type="dxa"/>
            <w:noWrap w:val="0"/>
            <w:vAlign w:val="center"/>
          </w:tcPr>
          <w:p w14:paraId="479B2019">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721" w:type="dxa"/>
            <w:noWrap w:val="0"/>
            <w:vAlign w:val="center"/>
          </w:tcPr>
          <w:p w14:paraId="45AE57ED">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包号</w:t>
            </w:r>
          </w:p>
        </w:tc>
        <w:tc>
          <w:tcPr>
            <w:tcW w:w="1841" w:type="dxa"/>
            <w:noWrap w:val="0"/>
            <w:vAlign w:val="center"/>
          </w:tcPr>
          <w:p w14:paraId="069AF7A1">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包名称</w:t>
            </w:r>
          </w:p>
        </w:tc>
        <w:tc>
          <w:tcPr>
            <w:tcW w:w="1554" w:type="dxa"/>
            <w:noWrap w:val="0"/>
            <w:vAlign w:val="center"/>
          </w:tcPr>
          <w:p w14:paraId="67390BE1">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包预算（元）</w:t>
            </w:r>
          </w:p>
        </w:tc>
        <w:tc>
          <w:tcPr>
            <w:tcW w:w="1585" w:type="dxa"/>
            <w:noWrap w:val="0"/>
            <w:vAlign w:val="center"/>
          </w:tcPr>
          <w:p w14:paraId="2F2CB33D">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包最高限价（元）</w:t>
            </w:r>
          </w:p>
        </w:tc>
        <w:tc>
          <w:tcPr>
            <w:tcW w:w="1135" w:type="dxa"/>
            <w:noWrap w:val="0"/>
            <w:vAlign w:val="center"/>
          </w:tcPr>
          <w:p w14:paraId="44D390CA">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是否专门面向中小企业采购</w:t>
            </w:r>
          </w:p>
        </w:tc>
        <w:tc>
          <w:tcPr>
            <w:tcW w:w="1554" w:type="dxa"/>
            <w:noWrap w:val="0"/>
            <w:vAlign w:val="center"/>
          </w:tcPr>
          <w:p w14:paraId="215922EB">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采购预留金额（元）</w:t>
            </w:r>
          </w:p>
        </w:tc>
      </w:tr>
      <w:tr w14:paraId="65A4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528" w:type="dxa"/>
            <w:noWrap w:val="0"/>
            <w:vAlign w:val="center"/>
          </w:tcPr>
          <w:p w14:paraId="4788A344">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721" w:type="dxa"/>
            <w:noWrap w:val="0"/>
            <w:vAlign w:val="center"/>
          </w:tcPr>
          <w:p w14:paraId="798B44A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登封采购-2024-171</w:t>
            </w:r>
          </w:p>
          <w:p w14:paraId="6EFB8B0D">
            <w:pPr>
              <w:pStyle w:val="88"/>
              <w:jc w:val="center"/>
              <w:rPr>
                <w:rFonts w:hint="eastAsia" w:ascii="宋体" w:hAnsi="宋体" w:eastAsia="宋体" w:cs="宋体"/>
                <w:color w:val="auto"/>
                <w:kern w:val="2"/>
                <w:sz w:val="21"/>
                <w:szCs w:val="21"/>
                <w:highlight w:val="none"/>
                <w:lang w:val="en-US" w:eastAsia="zh-CN" w:bidi="ar-SA"/>
              </w:rPr>
            </w:pPr>
          </w:p>
        </w:tc>
        <w:tc>
          <w:tcPr>
            <w:tcW w:w="1841" w:type="dxa"/>
            <w:noWrap w:val="0"/>
            <w:vAlign w:val="center"/>
          </w:tcPr>
          <w:p w14:paraId="715B76C2">
            <w:pPr>
              <w:pStyle w:val="88"/>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登封市人民中医院信息化建设项目采购方案（二期）</w:t>
            </w:r>
          </w:p>
        </w:tc>
        <w:tc>
          <w:tcPr>
            <w:tcW w:w="1554" w:type="dxa"/>
            <w:noWrap w:val="0"/>
            <w:vAlign w:val="center"/>
          </w:tcPr>
          <w:p w14:paraId="37915570">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2720000.00</w:t>
            </w:r>
          </w:p>
        </w:tc>
        <w:tc>
          <w:tcPr>
            <w:tcW w:w="1585" w:type="dxa"/>
            <w:noWrap w:val="0"/>
            <w:vAlign w:val="center"/>
          </w:tcPr>
          <w:p w14:paraId="773FFA8B">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2720000.00</w:t>
            </w:r>
          </w:p>
        </w:tc>
        <w:tc>
          <w:tcPr>
            <w:tcW w:w="1135" w:type="dxa"/>
            <w:noWrap w:val="0"/>
            <w:vAlign w:val="center"/>
          </w:tcPr>
          <w:p w14:paraId="5EDD4A96">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否</w:t>
            </w:r>
          </w:p>
        </w:tc>
        <w:tc>
          <w:tcPr>
            <w:tcW w:w="1554" w:type="dxa"/>
            <w:noWrap w:val="0"/>
            <w:vAlign w:val="center"/>
          </w:tcPr>
          <w:p w14:paraId="5D4BD47F">
            <w:pPr>
              <w:pStyle w:val="88"/>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2720000.00</w:t>
            </w:r>
          </w:p>
        </w:tc>
      </w:tr>
    </w:tbl>
    <w:p w14:paraId="369884B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、采购需求（包括但不限于标的的名称、数量、简要技术需求或服务要求等）</w:t>
      </w:r>
    </w:p>
    <w:p w14:paraId="1F01C78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登封市人民中医院信息管理系统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登封市人民中医院诊室网络一体机电脑、宣教一体机（叫号屏幕）</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设备</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（具体内容详见</w:t>
      </w:r>
      <w:r>
        <w:rPr>
          <w:rFonts w:hint="eastAsia" w:ascii="宋体" w:hAnsi="宋体" w:cs="宋体"/>
          <w:color w:val="auto"/>
          <w:sz w:val="21"/>
          <w:szCs w:val="21"/>
          <w:highlight w:val="none"/>
          <w:lang w:val="en-US" w:eastAsia="zh-CN"/>
        </w:rPr>
        <w:t>第五章</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技术标准及要求</w:t>
      </w:r>
      <w:r>
        <w:rPr>
          <w:rFonts w:hint="eastAsia" w:ascii="宋体" w:hAnsi="宋体" w:eastAsia="宋体" w:cs="宋体"/>
          <w:color w:val="auto"/>
          <w:sz w:val="21"/>
          <w:szCs w:val="21"/>
          <w:highlight w:val="none"/>
          <w:lang w:val="en-US" w:eastAsia="zh-CN"/>
        </w:rPr>
        <w:t>”）</w:t>
      </w:r>
    </w:p>
    <w:p w14:paraId="1F96FFF4">
      <w:pPr>
        <w:pStyle w:val="46"/>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(2)合同履行期限：</w:t>
      </w:r>
      <w:r>
        <w:rPr>
          <w:rFonts w:hint="eastAsia" w:ascii="宋体" w:hAnsi="宋体" w:eastAsia="宋体" w:cs="宋体"/>
          <w:color w:val="auto"/>
          <w:kern w:val="2"/>
          <w:sz w:val="21"/>
          <w:szCs w:val="21"/>
          <w:highlight w:val="none"/>
          <w:lang w:val="en-US" w:eastAsia="zh-CN" w:bidi="ar-SA"/>
        </w:rPr>
        <w:t>30日历天内供货安装调试完毕</w:t>
      </w:r>
      <w:r>
        <w:rPr>
          <w:rFonts w:hint="eastAsia" w:ascii="宋体" w:hAnsi="宋体" w:eastAsia="宋体" w:cs="宋体"/>
          <w:color w:val="auto"/>
          <w:sz w:val="21"/>
          <w:szCs w:val="21"/>
          <w:highlight w:val="none"/>
          <w:lang w:eastAsia="zh-CN"/>
        </w:rPr>
        <w:t>。</w:t>
      </w:r>
    </w:p>
    <w:p w14:paraId="6E0AE035">
      <w:pPr>
        <w:pStyle w:val="46"/>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(3)项目实施地点：</w:t>
      </w:r>
      <w:r>
        <w:rPr>
          <w:rFonts w:hint="eastAsia" w:ascii="宋体" w:hAnsi="宋体" w:eastAsia="宋体" w:cs="宋体"/>
          <w:color w:val="auto"/>
          <w:sz w:val="21"/>
          <w:szCs w:val="21"/>
          <w:highlight w:val="none"/>
          <w:lang w:val="en-US" w:eastAsia="zh-CN"/>
        </w:rPr>
        <w:t>登封市人民中医院</w:t>
      </w:r>
      <w:r>
        <w:rPr>
          <w:rFonts w:hint="eastAsia" w:ascii="宋体" w:hAnsi="宋体" w:eastAsia="宋体" w:cs="宋体"/>
          <w:color w:val="auto"/>
          <w:sz w:val="21"/>
          <w:szCs w:val="21"/>
          <w:highlight w:val="none"/>
          <w:lang w:eastAsia="zh-CN"/>
        </w:rPr>
        <w:t>。</w:t>
      </w:r>
    </w:p>
    <w:p w14:paraId="2DF375CA">
      <w:pPr>
        <w:pStyle w:val="46"/>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(4)质量标准：合格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符合国家</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行业</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eastAsia="zh-CN"/>
        </w:rPr>
        <w:t>及要求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满足采购人</w:t>
      </w:r>
      <w:r>
        <w:rPr>
          <w:rFonts w:hint="eastAsia" w:ascii="宋体" w:hAnsi="宋体" w:eastAsia="宋体" w:cs="宋体"/>
          <w:color w:val="auto"/>
          <w:sz w:val="21"/>
          <w:szCs w:val="21"/>
          <w:highlight w:val="none"/>
          <w:lang w:eastAsia="zh-CN"/>
        </w:rPr>
        <w:t>的相关</w:t>
      </w:r>
      <w:r>
        <w:rPr>
          <w:rFonts w:hint="eastAsia" w:ascii="宋体" w:hAnsi="宋体" w:eastAsia="宋体" w:cs="宋体"/>
          <w:color w:val="auto"/>
          <w:sz w:val="21"/>
          <w:szCs w:val="21"/>
          <w:highlight w:val="none"/>
        </w:rPr>
        <w:t>要求。</w:t>
      </w:r>
    </w:p>
    <w:p w14:paraId="218547E9">
      <w:pPr>
        <w:pStyle w:val="46"/>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(5)质保期：</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1975CF70">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.本项目是否接受联合体投标：否</w:t>
      </w:r>
      <w:r>
        <w:rPr>
          <w:rFonts w:hint="eastAsia" w:ascii="宋体" w:hAnsi="宋体" w:cs="宋体"/>
          <w:color w:val="auto"/>
          <w:sz w:val="21"/>
          <w:szCs w:val="21"/>
          <w:highlight w:val="none"/>
          <w:lang w:eastAsia="zh-CN"/>
        </w:rPr>
        <w:t>。</w:t>
      </w:r>
    </w:p>
    <w:p w14:paraId="14CBC31E">
      <w:pPr>
        <w:pStyle w:val="46"/>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本项目是否专门</w:t>
      </w:r>
      <w:r>
        <w:rPr>
          <w:rFonts w:hint="eastAsia" w:ascii="宋体" w:hAnsi="宋体" w:eastAsia="宋体" w:cs="宋体"/>
          <w:color w:val="auto"/>
          <w:kern w:val="2"/>
          <w:sz w:val="21"/>
          <w:szCs w:val="21"/>
          <w:highlight w:val="none"/>
        </w:rPr>
        <w:t>面对中小型企业采购：否</w:t>
      </w:r>
      <w:r>
        <w:rPr>
          <w:rFonts w:hint="eastAsia" w:ascii="宋体" w:hAnsi="宋体" w:eastAsia="宋体" w:cs="宋体"/>
          <w:color w:val="auto"/>
          <w:kern w:val="2"/>
          <w:sz w:val="21"/>
          <w:szCs w:val="21"/>
          <w:highlight w:val="none"/>
          <w:lang w:eastAsia="zh-CN"/>
        </w:rPr>
        <w:t>。</w:t>
      </w:r>
    </w:p>
    <w:p w14:paraId="6DFCCA8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二、申请人资格要求：</w:t>
      </w:r>
    </w:p>
    <w:p w14:paraId="78D04078">
      <w:pPr>
        <w:spacing w:line="360" w:lineRule="auto"/>
        <w:ind w:firstLine="210" w:firstLine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1.符合《中华人民共和国政府采购法》第二十二条规定的条件</w:t>
      </w:r>
      <w:r>
        <w:rPr>
          <w:rFonts w:hint="eastAsia" w:ascii="宋体" w:hAnsi="宋体" w:cs="宋体"/>
          <w:color w:val="auto"/>
          <w:sz w:val="21"/>
          <w:szCs w:val="21"/>
          <w:highlight w:val="none"/>
          <w:lang w:val="zh-CN" w:eastAsia="zh-CN"/>
        </w:rPr>
        <w:t>；</w:t>
      </w:r>
    </w:p>
    <w:p w14:paraId="4179B556">
      <w:pPr>
        <w:spacing w:line="360" w:lineRule="auto"/>
        <w:ind w:firstLine="210" w:firstLine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2.落实政府采购政策满足的资格要求：《政府采购促进中小企业发展管理办法》、《关于政府采购支持监狱企业发展有关问题的通知》 、《关于促进残疾人就业政府采购政策的通知》、节能产品及环境标志产品优先采购、社会信用体系建设等；</w:t>
      </w:r>
    </w:p>
    <w:p w14:paraId="3AB6A4A0">
      <w:pPr>
        <w:spacing w:line="360" w:lineRule="auto"/>
        <w:ind w:firstLine="210" w:firstLine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3.本项目的特定资格要求：</w:t>
      </w:r>
    </w:p>
    <w:p w14:paraId="3DF80744">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根据《关于在政府采购活动中查询及使用信用记录有关问题的通知》(财库[2016]125号)的规定，采购人或采购代理机构将在本项目开标后评审结束前通过“信用中国”网站（www.creditchina.gov.cn）、“中国政府采购网”（www.ccgp.gov.cn）等渠道查询响应人信用记录，并告知评标委员会查询结果，被“信用中国”网站列入失信被执行人、重大税收违法失信主体、政府采购严重违法失信行为记录名单或被“中国政府采购网”列入政府采购严重违法失信行为记录名单的单位将被拒绝参与本项目政府采购活动。在本项目评审结束之后，网站信息发生的任何变更均不再作为评审依据。投标单位自行提供的与网站信息不一致的其他证明材料亦不作为资格审查的依据。信用信息查询记录和证据将同招标文件等资料一同归档保存。</w:t>
      </w:r>
    </w:p>
    <w:p w14:paraId="49726B51">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注：采购代理机构在开标当天将对所有参与本项目投标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zh-CN" w:eastAsia="zh-CN"/>
        </w:rPr>
        <w:t>的信用情况（失信被执行人、</w:t>
      </w:r>
      <w:r>
        <w:rPr>
          <w:rFonts w:hint="eastAsia" w:ascii="宋体" w:hAnsi="宋体" w:cs="宋体"/>
          <w:color w:val="auto"/>
          <w:sz w:val="21"/>
          <w:szCs w:val="21"/>
          <w:highlight w:val="none"/>
          <w:lang w:val="zh-CN" w:eastAsia="zh-CN"/>
        </w:rPr>
        <w:t>重大税收违法失信主体</w:t>
      </w:r>
      <w:r>
        <w:rPr>
          <w:rFonts w:hint="eastAsia" w:ascii="宋体" w:hAnsi="宋体" w:eastAsia="宋体" w:cs="宋体"/>
          <w:color w:val="auto"/>
          <w:sz w:val="21"/>
          <w:szCs w:val="21"/>
          <w:highlight w:val="none"/>
          <w:lang w:val="zh-CN" w:eastAsia="zh-CN"/>
        </w:rPr>
        <w:t>、政府采购严重违法失信行为记录名单）进行查询、打印留存。若在开标当天查询到</w:t>
      </w:r>
      <w:r>
        <w:rPr>
          <w:rFonts w:hint="eastAsia" w:ascii="宋体" w:hAnsi="宋体" w:cs="宋体"/>
          <w:color w:val="auto"/>
          <w:sz w:val="21"/>
          <w:szCs w:val="21"/>
          <w:highlight w:val="none"/>
          <w:lang w:val="en-US" w:eastAsia="zh-CN"/>
        </w:rPr>
        <w:t>投标单位</w:t>
      </w:r>
      <w:r>
        <w:rPr>
          <w:rFonts w:hint="eastAsia" w:ascii="宋体" w:hAnsi="宋体" w:eastAsia="宋体" w:cs="宋体"/>
          <w:color w:val="auto"/>
          <w:sz w:val="21"/>
          <w:szCs w:val="21"/>
          <w:highlight w:val="none"/>
          <w:lang w:val="zh-CN" w:eastAsia="zh-CN"/>
        </w:rPr>
        <w:t>有相关负面信息的，则该供应商为无效供应商</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4.投标</w:t>
      </w:r>
      <w:r>
        <w:rPr>
          <w:rFonts w:hint="eastAsia" w:ascii="宋体" w:hAnsi="宋体" w:eastAsia="宋体" w:cs="宋体"/>
          <w:color w:val="auto"/>
          <w:sz w:val="21"/>
          <w:szCs w:val="21"/>
          <w:highlight w:val="none"/>
          <w:lang w:val="en-US" w:eastAsia="zh-CN"/>
        </w:rPr>
        <w:t>单位负责人为同一人或者存在直接控股、管理关系的不同单位，不得同时参与该项目；需提供“国家企业信用信息公示系统”中公示的公司信息、股东（或投资人）信息（或提供单位负责人与其他供应商不为同一人或者存在控股、管理关系的承诺书）</w:t>
      </w:r>
      <w:r>
        <w:rPr>
          <w:rFonts w:hint="eastAsia" w:ascii="宋体" w:hAnsi="宋体" w:eastAsia="宋体" w:cs="宋体"/>
          <w:color w:val="auto"/>
          <w:sz w:val="21"/>
          <w:szCs w:val="21"/>
          <w:highlight w:val="none"/>
          <w:lang w:val="zh-CN" w:eastAsia="zh-CN"/>
        </w:rPr>
        <w:t>。</w:t>
      </w:r>
    </w:p>
    <w:p w14:paraId="4B2981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三、获取招标文件</w:t>
      </w:r>
    </w:p>
    <w:p w14:paraId="71F8E196">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shd w:val="clear"/>
        </w:rPr>
        <w:t>时间：</w:t>
      </w:r>
      <w:r>
        <w:rPr>
          <w:rFonts w:hint="eastAsia" w:ascii="宋体" w:hAnsi="宋体" w:eastAsia="宋体" w:cs="宋体"/>
          <w:color w:val="auto"/>
          <w:sz w:val="21"/>
          <w:szCs w:val="21"/>
          <w:highlight w:val="none"/>
          <w:lang w:val="en-US" w:eastAsia="zh-CN"/>
        </w:rPr>
        <w:t>2024年12月 02 日至2024年12月06 日, 每天上午00:00至12:00，下午12:00至23:59（北京时间，法定节假日除外</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377CA67F">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val="en-US" w:eastAsia="zh-CN"/>
        </w:rPr>
        <w:t>登封市公共资源交易中心网站：</w:t>
      </w:r>
      <w:r>
        <w:rPr>
          <w:rFonts w:hint="eastAsia" w:ascii="宋体" w:hAnsi="宋体" w:eastAsia="宋体" w:cs="宋体"/>
          <w:color w:val="auto"/>
          <w:sz w:val="21"/>
          <w:szCs w:val="21"/>
          <w:highlight w:val="none"/>
        </w:rPr>
        <w:t>http://dfggzyjy.dengfeng.gov.cn。</w:t>
      </w:r>
    </w:p>
    <w:p w14:paraId="2C0E4588">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3.方式：</w:t>
      </w:r>
      <w:r>
        <w:rPr>
          <w:rFonts w:hint="eastAsia" w:ascii="宋体" w:hAnsi="宋体" w:eastAsia="宋体" w:cs="宋体"/>
          <w:color w:val="auto"/>
          <w:sz w:val="21"/>
          <w:szCs w:val="21"/>
          <w:highlight w:val="none"/>
          <w:lang w:val="en-US" w:eastAsia="zh-CN"/>
        </w:rPr>
        <w:t>拟成交投标单位，应首先完成交易主体身份注册,并办理 CA 数字证书及电子签章(具体办理事宜请查询登封市公共资源交易中心网站-办事指南-《登封市公共资源交易中心交易主体 CA 办理指南》)，然后凭领取的企业身份认证锁(CA 密钥)，办理诚信库入库登记(具体办理事宜请查询登封市公共资源交易中心网站-办事指南-《登封市公共资源电子交易平台交易主体诚信库入库指南》) 。</w:t>
      </w:r>
    </w:p>
    <w:p w14:paraId="7A1E1F3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然后凭领取的企业身份认证锁（CA密钥），登录“登封市公共资源交易中心网站”，按网站提示下载</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文件以“登封市公共资源交易中心网站”的电子文件为准，采购人不再提供纸质</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投标单位</w:t>
      </w:r>
      <w:r>
        <w:rPr>
          <w:rFonts w:hint="eastAsia" w:ascii="宋体" w:hAnsi="宋体" w:eastAsia="宋体" w:cs="宋体"/>
          <w:color w:val="auto"/>
          <w:sz w:val="21"/>
          <w:szCs w:val="21"/>
          <w:highlight w:val="none"/>
          <w:lang w:val="en-US" w:eastAsia="zh-CN"/>
        </w:rPr>
        <w:t>未按规定在网上下载电子</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文件的，其投标将被拒绝。</w:t>
      </w:r>
    </w:p>
    <w:p w14:paraId="6E090E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.售价：0元</w:t>
      </w:r>
    </w:p>
    <w:p w14:paraId="35AC472E">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w:t>
      </w:r>
    </w:p>
    <w:p w14:paraId="7F4A9DF2">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时间：2024年12月 24 日 09时 30分（北京时间）</w:t>
      </w:r>
    </w:p>
    <w:p w14:paraId="6AFE8B3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2.地点：登封市公共资源交易中心远程开标大厅</w:t>
      </w:r>
    </w:p>
    <w:p w14:paraId="2BC502E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五、开标时间及地点</w:t>
      </w:r>
    </w:p>
    <w:p w14:paraId="64E3B401">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24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14:paraId="0F0992C1">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2.地点：登封市公共资源交易中心不见面开标大厅</w:t>
      </w:r>
    </w:p>
    <w:p w14:paraId="61E55EAA">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六、发布公告的媒介及招标公告期限</w:t>
      </w:r>
    </w:p>
    <w:p w14:paraId="4092AB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本次招标公告在《中国招标投标公共服务平台》、《河南省电子招标投标公共服务平台》、《全国公共资源交易平台（河南省.登封市）》、《河南省政府采购网》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《登封市政府采购网》上发布，招标公告期限为五个工作日。</w:t>
      </w:r>
    </w:p>
    <w:p w14:paraId="662277E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七、其他补充事宜</w:t>
      </w:r>
    </w:p>
    <w:p w14:paraId="1184A4FD">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7814612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八、凡对本次招标提出询问，请按照以下方式联系</w:t>
      </w:r>
    </w:p>
    <w:p w14:paraId="6C7BF17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1、采购人：登封市人民中医院               </w:t>
      </w:r>
    </w:p>
    <w:p w14:paraId="760D65A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址：登封市崇高路与嵩山路交叉口                       </w:t>
      </w:r>
    </w:p>
    <w:p w14:paraId="349768E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人：张先生</w:t>
      </w:r>
      <w:r>
        <w:rPr>
          <w:rFonts w:hint="eastAsia" w:ascii="宋体" w:hAnsi="宋体" w:eastAsia="宋体" w:cs="宋体"/>
          <w:color w:val="auto"/>
          <w:sz w:val="21"/>
          <w:szCs w:val="21"/>
          <w:highlight w:val="none"/>
        </w:rPr>
        <w:t xml:space="preserve">  </w:t>
      </w:r>
    </w:p>
    <w:p w14:paraId="0F25D6C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电    话：15617780199                                 </w:t>
      </w:r>
    </w:p>
    <w:p w14:paraId="3A0AD3B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2、招标代理机构：智博国际工程咨询有限公司</w:t>
      </w:r>
    </w:p>
    <w:p w14:paraId="57549D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址：郑州市西三环与北三环交叉口国家大学科技园（东区）18号楼D座2层 </w:t>
      </w:r>
    </w:p>
    <w:p w14:paraId="2F9B9C5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人：黄天鹏</w:t>
      </w:r>
    </w:p>
    <w:p w14:paraId="2F33176C">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话：17803825996</w:t>
      </w:r>
    </w:p>
    <w:p w14:paraId="7A93662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p>
    <w:p w14:paraId="0499E1C5">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项目联系人：黄天鹏</w:t>
      </w:r>
    </w:p>
    <w:p w14:paraId="682A25FF">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电话：17803825996</w:t>
      </w:r>
    </w:p>
    <w:p w14:paraId="35CC5DF8">
      <w:pPr>
        <w:spacing w:line="360" w:lineRule="auto"/>
        <w:jc w:val="right"/>
        <w:rPr>
          <w:rFonts w:hint="eastAsia" w:ascii="宋体" w:hAnsi="宋体" w:eastAsia="宋体" w:cs="宋体"/>
          <w:color w:val="auto"/>
          <w:sz w:val="21"/>
          <w:szCs w:val="21"/>
          <w:highlight w:val="none"/>
        </w:rPr>
      </w:pPr>
    </w:p>
    <w:p w14:paraId="0B57C107">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发布人：智博国际工程咨询有限公司</w:t>
      </w:r>
    </w:p>
    <w:p w14:paraId="64E63828">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日</w:t>
      </w:r>
      <w:bookmarkStart w:id="14" w:name="_Toc26783"/>
    </w:p>
    <w:bookmarkEnd w:id="249"/>
    <w:p w14:paraId="3214C23E">
      <w:pPr>
        <w:spacing w:line="360" w:lineRule="auto"/>
        <w:jc w:val="right"/>
        <w:rPr>
          <w:rFonts w:hint="eastAsia" w:ascii="宋体" w:hAnsi="宋体" w:eastAsia="宋体" w:cs="宋体"/>
          <w:color w:val="auto"/>
          <w:sz w:val="21"/>
          <w:szCs w:val="21"/>
          <w:highlight w:val="none"/>
        </w:rPr>
      </w:pPr>
    </w:p>
    <w:p w14:paraId="41C0E09E">
      <w:pPr>
        <w:rPr>
          <w:rFonts w:hint="eastAsia"/>
          <w:b/>
          <w:bCs/>
          <w:color w:val="auto"/>
          <w:sz w:val="32"/>
          <w:szCs w:val="32"/>
          <w:highlight w:val="none"/>
        </w:rPr>
      </w:pPr>
    </w:p>
    <w:p w14:paraId="608D0737">
      <w:pPr>
        <w:pStyle w:val="28"/>
        <w:rPr>
          <w:rFonts w:hint="eastAsia"/>
          <w:b/>
          <w:bCs/>
          <w:color w:val="auto"/>
          <w:sz w:val="32"/>
          <w:szCs w:val="32"/>
          <w:highlight w:val="none"/>
        </w:rPr>
      </w:pPr>
    </w:p>
    <w:p w14:paraId="21FBD2F2">
      <w:pPr>
        <w:pStyle w:val="29"/>
        <w:rPr>
          <w:rFonts w:hint="eastAsia"/>
        </w:rPr>
      </w:pPr>
    </w:p>
    <w:p w14:paraId="0CA5C586">
      <w:pPr>
        <w:pStyle w:val="2"/>
        <w:spacing w:before="0" w:after="0" w:line="240" w:lineRule="auto"/>
        <w:rPr>
          <w:b/>
          <w:bCs/>
          <w:color w:val="auto"/>
          <w:sz w:val="32"/>
          <w:szCs w:val="32"/>
          <w:highlight w:val="none"/>
        </w:rPr>
      </w:pPr>
      <w:r>
        <w:rPr>
          <w:rFonts w:hint="eastAsia"/>
          <w:b/>
          <w:bCs/>
          <w:color w:val="auto"/>
          <w:sz w:val="32"/>
          <w:szCs w:val="32"/>
          <w:highlight w:val="none"/>
        </w:rPr>
        <w:t>第二章  供应商须知</w:t>
      </w:r>
      <w:bookmarkEnd w:id="10"/>
      <w:bookmarkEnd w:id="11"/>
      <w:bookmarkEnd w:id="12"/>
      <w:bookmarkEnd w:id="13"/>
      <w:bookmarkEnd w:id="14"/>
      <w:bookmarkStart w:id="15" w:name="_Toc276230896"/>
      <w:bookmarkStart w:id="16" w:name="_Toc317668981"/>
      <w:bookmarkStart w:id="17" w:name="_Toc276229538"/>
      <w:bookmarkStart w:id="18" w:name="_Toc23510"/>
    </w:p>
    <w:p w14:paraId="0F243364">
      <w:pPr>
        <w:pStyle w:val="2"/>
        <w:spacing w:before="0" w:after="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供应商须知前附表</w:t>
      </w:r>
      <w:bookmarkEnd w:id="15"/>
      <w:bookmarkEnd w:id="16"/>
      <w:bookmarkEnd w:id="17"/>
      <w:bookmarkEnd w:id="18"/>
    </w:p>
    <w:tbl>
      <w:tblPr>
        <w:tblStyle w:val="3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540"/>
        <w:gridCol w:w="112"/>
        <w:gridCol w:w="6376"/>
      </w:tblGrid>
      <w:tr w14:paraId="0FDF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9" w:type="dxa"/>
            <w:vAlign w:val="center"/>
          </w:tcPr>
          <w:p w14:paraId="62EE606F">
            <w:pPr>
              <w:adjustRightInd w:val="0"/>
              <w:snapToGrid w:val="0"/>
              <w:spacing w:line="360" w:lineRule="auto"/>
              <w:ind w:right="-107" w:rightChars="-51"/>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
                <w:color w:val="auto"/>
                <w:sz w:val="21"/>
                <w:szCs w:val="21"/>
                <w:highlight w:val="none"/>
              </w:rPr>
              <w:t>条款号</w:t>
            </w:r>
          </w:p>
        </w:tc>
        <w:tc>
          <w:tcPr>
            <w:tcW w:w="2540" w:type="dxa"/>
            <w:vAlign w:val="center"/>
          </w:tcPr>
          <w:p w14:paraId="526C640E">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488" w:type="dxa"/>
            <w:gridSpan w:val="2"/>
            <w:vAlign w:val="center"/>
          </w:tcPr>
          <w:p w14:paraId="3414B672">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7BE4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14:paraId="370D91A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40" w:type="dxa"/>
            <w:vAlign w:val="center"/>
          </w:tcPr>
          <w:p w14:paraId="49FBBB0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488" w:type="dxa"/>
            <w:gridSpan w:val="2"/>
            <w:vAlign w:val="center"/>
          </w:tcPr>
          <w:p w14:paraId="1FA307CE">
            <w:pPr>
              <w:adjustRightInd w:val="0"/>
              <w:snapToGrid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登封市人民中医院</w:t>
            </w:r>
          </w:p>
          <w:p w14:paraId="6D107B94">
            <w:pPr>
              <w:adjustRightInd w:val="0"/>
              <w:snapToGrid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地址：</w:t>
            </w:r>
            <w:r>
              <w:rPr>
                <w:rFonts w:hint="eastAsia" w:ascii="宋体" w:hAnsi="宋体" w:eastAsia="宋体" w:cs="宋体"/>
                <w:color w:val="auto"/>
                <w:sz w:val="21"/>
                <w:szCs w:val="21"/>
                <w:highlight w:val="none"/>
                <w:lang w:val="en-US" w:eastAsia="zh-CN"/>
              </w:rPr>
              <w:t>登封市崇高路与嵩山路交叉口</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 xml:space="preserve"> </w:t>
            </w:r>
          </w:p>
          <w:p w14:paraId="60865C72">
            <w:p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 系 人：张先生  </w:t>
            </w:r>
          </w:p>
          <w:p w14:paraId="1766D84E">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电    话：15617780199     </w:t>
            </w:r>
          </w:p>
        </w:tc>
      </w:tr>
      <w:tr w14:paraId="36A9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69" w:type="dxa"/>
            <w:vAlign w:val="center"/>
          </w:tcPr>
          <w:p w14:paraId="30B0DDE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40" w:type="dxa"/>
            <w:vAlign w:val="center"/>
          </w:tcPr>
          <w:p w14:paraId="79FB66D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488" w:type="dxa"/>
            <w:gridSpan w:val="2"/>
            <w:vAlign w:val="center"/>
          </w:tcPr>
          <w:p w14:paraId="4410D679">
            <w:pPr>
              <w:adjustRightInd w:val="0"/>
              <w:snapToGrid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采购代理机构：智博国际工程咨询有限公司</w:t>
            </w:r>
          </w:p>
          <w:p w14:paraId="24CB9C09">
            <w:pPr>
              <w:adjustRightInd w:val="0"/>
              <w:snapToGrid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  址：郑州市西三环与北三环交叉口国家大学科技园（东区）18号楼D座2层</w:t>
            </w:r>
          </w:p>
          <w:p w14:paraId="2DF2EBF2">
            <w:pPr>
              <w:adjustRightInd w:val="0"/>
              <w:snapToGrid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联系人：</w:t>
            </w:r>
            <w:r>
              <w:rPr>
                <w:rFonts w:hint="eastAsia" w:ascii="宋体" w:hAnsi="宋体" w:eastAsia="宋体" w:cs="宋体"/>
                <w:color w:val="auto"/>
                <w:sz w:val="21"/>
                <w:szCs w:val="21"/>
                <w:highlight w:val="none"/>
                <w:lang w:eastAsia="zh-CN"/>
              </w:rPr>
              <w:t>黄天鹏</w:t>
            </w:r>
          </w:p>
          <w:p w14:paraId="54ED026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电  话：</w:t>
            </w:r>
            <w:r>
              <w:rPr>
                <w:rFonts w:hint="eastAsia" w:ascii="宋体" w:hAnsi="宋体" w:cs="宋体"/>
                <w:color w:val="auto"/>
                <w:sz w:val="21"/>
                <w:szCs w:val="21"/>
                <w:highlight w:val="none"/>
                <w:lang w:val="en-US" w:eastAsia="zh-CN"/>
              </w:rPr>
              <w:t>17803825996</w:t>
            </w:r>
          </w:p>
        </w:tc>
      </w:tr>
      <w:tr w14:paraId="273A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969" w:type="dxa"/>
            <w:vAlign w:val="center"/>
          </w:tcPr>
          <w:p w14:paraId="6F622B4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540" w:type="dxa"/>
            <w:vAlign w:val="center"/>
          </w:tcPr>
          <w:p w14:paraId="3EEC0B5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488" w:type="dxa"/>
            <w:gridSpan w:val="2"/>
            <w:vAlign w:val="center"/>
          </w:tcPr>
          <w:p w14:paraId="1BD102BD">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登封市人民中医院信息化建设项目采购方案（二期）</w:t>
            </w:r>
          </w:p>
        </w:tc>
      </w:tr>
      <w:tr w14:paraId="7D25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969" w:type="dxa"/>
            <w:vAlign w:val="center"/>
          </w:tcPr>
          <w:p w14:paraId="1F7240E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540" w:type="dxa"/>
            <w:vAlign w:val="center"/>
          </w:tcPr>
          <w:p w14:paraId="7C760F0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项目实施地点</w:t>
            </w:r>
          </w:p>
        </w:tc>
        <w:tc>
          <w:tcPr>
            <w:tcW w:w="6488" w:type="dxa"/>
            <w:gridSpan w:val="2"/>
            <w:vAlign w:val="center"/>
          </w:tcPr>
          <w:p w14:paraId="5BD73EC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登封市人民中医院</w:t>
            </w:r>
          </w:p>
        </w:tc>
      </w:tr>
      <w:tr w14:paraId="097D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969" w:type="dxa"/>
            <w:vAlign w:val="center"/>
          </w:tcPr>
          <w:p w14:paraId="684CE2D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40" w:type="dxa"/>
            <w:vAlign w:val="center"/>
          </w:tcPr>
          <w:p w14:paraId="708F538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488" w:type="dxa"/>
            <w:gridSpan w:val="2"/>
            <w:vAlign w:val="center"/>
          </w:tcPr>
          <w:p w14:paraId="7DC7CD2A">
            <w:pPr>
              <w:adjustRightInd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专项债</w:t>
            </w:r>
          </w:p>
        </w:tc>
      </w:tr>
      <w:tr w14:paraId="7B9E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969" w:type="dxa"/>
            <w:vAlign w:val="center"/>
          </w:tcPr>
          <w:p w14:paraId="0F47E74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540" w:type="dxa"/>
            <w:vAlign w:val="center"/>
          </w:tcPr>
          <w:p w14:paraId="3AA92D7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出资比例</w:t>
            </w:r>
          </w:p>
        </w:tc>
        <w:tc>
          <w:tcPr>
            <w:tcW w:w="6488" w:type="dxa"/>
            <w:gridSpan w:val="2"/>
            <w:vAlign w:val="center"/>
          </w:tcPr>
          <w:p w14:paraId="32A4128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14:paraId="55C6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69" w:type="dxa"/>
            <w:vAlign w:val="center"/>
          </w:tcPr>
          <w:p w14:paraId="209B7C6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540" w:type="dxa"/>
            <w:vAlign w:val="center"/>
          </w:tcPr>
          <w:p w14:paraId="04F10BB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488" w:type="dxa"/>
            <w:gridSpan w:val="2"/>
            <w:vAlign w:val="center"/>
          </w:tcPr>
          <w:p w14:paraId="1BD8F3C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751E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969" w:type="dxa"/>
            <w:vAlign w:val="center"/>
          </w:tcPr>
          <w:p w14:paraId="7A81814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540" w:type="dxa"/>
            <w:vAlign w:val="center"/>
          </w:tcPr>
          <w:p w14:paraId="19E0678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p>
        </w:tc>
        <w:tc>
          <w:tcPr>
            <w:tcW w:w="6488" w:type="dxa"/>
            <w:gridSpan w:val="2"/>
            <w:vAlign w:val="center"/>
          </w:tcPr>
          <w:p w14:paraId="63956EA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登封市人民中医院信息管理系统；登封市人民中医院诊室网络一体机电脑、宣教一体机（叫号屏幕）等设备。（具体内容详见第五章“技术标准及要求”）</w:t>
            </w:r>
          </w:p>
          <w:p w14:paraId="10F0D56C">
            <w:pPr>
              <w:adjustRightInd w:val="0"/>
              <w:snapToGrid w:val="0"/>
              <w:spacing w:line="360" w:lineRule="auto"/>
              <w:rPr>
                <w:rFonts w:hint="eastAsia" w:ascii="宋体" w:hAnsi="宋体" w:eastAsia="宋体" w:cs="宋体"/>
                <w:color w:val="auto"/>
                <w:sz w:val="21"/>
                <w:szCs w:val="21"/>
                <w:highlight w:val="none"/>
              </w:rPr>
            </w:pPr>
          </w:p>
        </w:tc>
      </w:tr>
      <w:tr w14:paraId="5F79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969" w:type="dxa"/>
            <w:vAlign w:val="center"/>
          </w:tcPr>
          <w:p w14:paraId="6A93320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540" w:type="dxa"/>
            <w:vAlign w:val="center"/>
          </w:tcPr>
          <w:p w14:paraId="548A01C8">
            <w:pPr>
              <w:spacing w:line="360" w:lineRule="auto"/>
              <w:ind w:firstLine="210" w:firstLineChars="1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包划分</w:t>
            </w:r>
          </w:p>
        </w:tc>
        <w:tc>
          <w:tcPr>
            <w:tcW w:w="6488" w:type="dxa"/>
            <w:gridSpan w:val="2"/>
            <w:vAlign w:val="center"/>
          </w:tcPr>
          <w:p w14:paraId="6BD2F822">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个包</w:t>
            </w:r>
          </w:p>
        </w:tc>
      </w:tr>
      <w:tr w14:paraId="7F93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969" w:type="dxa"/>
            <w:vAlign w:val="center"/>
          </w:tcPr>
          <w:p w14:paraId="068A43C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540" w:type="dxa"/>
            <w:vAlign w:val="center"/>
          </w:tcPr>
          <w:p w14:paraId="18C0D7E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488" w:type="dxa"/>
            <w:gridSpan w:val="2"/>
            <w:vAlign w:val="center"/>
          </w:tcPr>
          <w:p w14:paraId="69263E49">
            <w:pPr>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日历天内供货安装调试完毕；</w:t>
            </w:r>
          </w:p>
        </w:tc>
      </w:tr>
      <w:tr w14:paraId="7B28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969" w:type="dxa"/>
            <w:vAlign w:val="center"/>
          </w:tcPr>
          <w:p w14:paraId="0C730D0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540" w:type="dxa"/>
            <w:vAlign w:val="center"/>
          </w:tcPr>
          <w:p w14:paraId="7DAD764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488" w:type="dxa"/>
            <w:gridSpan w:val="2"/>
            <w:vAlign w:val="center"/>
          </w:tcPr>
          <w:p w14:paraId="7646CC2B">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符合国家</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行业</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eastAsia="zh-CN"/>
              </w:rPr>
              <w:t>及要求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满足采购人</w:t>
            </w:r>
            <w:r>
              <w:rPr>
                <w:rFonts w:hint="eastAsia" w:ascii="宋体" w:hAnsi="宋体" w:eastAsia="宋体" w:cs="宋体"/>
                <w:color w:val="auto"/>
                <w:sz w:val="21"/>
                <w:szCs w:val="21"/>
                <w:highlight w:val="none"/>
                <w:lang w:eastAsia="zh-CN"/>
              </w:rPr>
              <w:t>的相关</w:t>
            </w:r>
            <w:r>
              <w:rPr>
                <w:rFonts w:hint="eastAsia" w:ascii="宋体" w:hAnsi="宋体" w:eastAsia="宋体" w:cs="宋体"/>
                <w:color w:val="auto"/>
                <w:sz w:val="21"/>
                <w:szCs w:val="21"/>
                <w:highlight w:val="none"/>
              </w:rPr>
              <w:t>要求。</w:t>
            </w:r>
          </w:p>
        </w:tc>
      </w:tr>
      <w:tr w14:paraId="3DCC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969" w:type="dxa"/>
            <w:vAlign w:val="center"/>
          </w:tcPr>
          <w:p w14:paraId="5C2200E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2540" w:type="dxa"/>
            <w:vAlign w:val="center"/>
          </w:tcPr>
          <w:p w14:paraId="263A08A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6488" w:type="dxa"/>
            <w:gridSpan w:val="2"/>
            <w:vAlign w:val="center"/>
          </w:tcPr>
          <w:p w14:paraId="1ED39DC9">
            <w:pPr>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p>
        </w:tc>
      </w:tr>
      <w:tr w14:paraId="1A01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9" w:type="dxa"/>
            <w:vAlign w:val="center"/>
          </w:tcPr>
          <w:p w14:paraId="4780829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540" w:type="dxa"/>
            <w:vAlign w:val="center"/>
          </w:tcPr>
          <w:p w14:paraId="215A76D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w:t>
            </w:r>
          </w:p>
        </w:tc>
        <w:tc>
          <w:tcPr>
            <w:tcW w:w="6488" w:type="dxa"/>
            <w:gridSpan w:val="2"/>
            <w:vAlign w:val="center"/>
          </w:tcPr>
          <w:p w14:paraId="7CAD13E3">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1.符合《中华人民共和国政府采购法》第二十二条规定的条件；</w:t>
            </w:r>
          </w:p>
          <w:p w14:paraId="4556E500">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2.落实政府采购政策满足的资格要求：《政府采购促进中小企业发展管理办法》、《关于政府采购支持监狱企业发展有关问题的通知》 、《关于促进残疾人就业政府采购政策的通知》、节能产品及环境标志产品优先采购、社会信用体系建设等；</w:t>
            </w:r>
          </w:p>
          <w:p w14:paraId="67A05FEA">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3.本项目的特定资格要求：</w:t>
            </w:r>
          </w:p>
          <w:p w14:paraId="6FBC442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根据《关于在政府采购活动中查询及使用信用记录有关问题的通知》(财库[2016]125号)的规定，采购人或采购代理机构将在本项目开标后评审结束前通过“信用中国”网站（www.creditchina.gov.cn）、“中国政府采购网”（www.ccgp.gov.cn）等渠道查询响应人信用记录，并告知评标委员会查询结果，被“信用中国”网站列入失信被执行人、重大税收违法失信主体、政府采购严重违法失信行为记录名单或被“中国政府采购网”列入政府采购严重违法失信行为记录名单的单位将被拒绝参与本项目政府采购活动。在本项目评审结束之后，网站信息发生的任何变更均不再作为评审依据。投标单位自行提供的与网站信息不一致的其他证明材料亦不作为资格审查的依据。信用信息查询记录和证据将同招标文件等资料一同归档保存。</w:t>
            </w:r>
          </w:p>
          <w:p w14:paraId="4CCF92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注：采购代理机构在开标当天将对所有参与本项目投标</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zh-CN" w:eastAsia="zh-CN"/>
              </w:rPr>
              <w:t>的信用情况（失信被执行人、重大税收违法失信主体、政府采购严重违法失信行为记录名单）进行查询、打印留存。若在开标当天查询到</w:t>
            </w:r>
            <w:r>
              <w:rPr>
                <w:rFonts w:hint="eastAsia" w:ascii="宋体" w:hAnsi="宋体" w:eastAsia="宋体" w:cs="宋体"/>
                <w:color w:val="auto"/>
                <w:sz w:val="21"/>
                <w:szCs w:val="21"/>
                <w:highlight w:val="none"/>
                <w:lang w:val="en-US" w:eastAsia="zh-CN"/>
              </w:rPr>
              <w:t>投标单位</w:t>
            </w:r>
            <w:r>
              <w:rPr>
                <w:rFonts w:hint="eastAsia" w:ascii="宋体" w:hAnsi="宋体" w:eastAsia="宋体" w:cs="宋体"/>
                <w:color w:val="auto"/>
                <w:sz w:val="21"/>
                <w:szCs w:val="21"/>
                <w:highlight w:val="none"/>
                <w:lang w:val="zh-CN" w:eastAsia="zh-CN"/>
              </w:rPr>
              <w:t>有相关负面信息的，则该供应商为无效供应商。</w:t>
            </w:r>
            <w:r>
              <w:rPr>
                <w:rFonts w:hint="eastAsia" w:ascii="宋体" w:hAnsi="宋体" w:eastAsia="宋体" w:cs="宋体"/>
                <w:color w:val="auto"/>
                <w:sz w:val="21"/>
                <w:szCs w:val="21"/>
                <w:highlight w:val="none"/>
                <w:lang w:val="zh-CN" w:eastAsia="zh-CN"/>
              </w:rPr>
              <w:br w:type="textWrapping"/>
            </w:r>
            <w:r>
              <w:rPr>
                <w:rFonts w:hint="eastAsia" w:ascii="宋体" w:hAnsi="宋体" w:eastAsia="宋体" w:cs="宋体"/>
                <w:color w:val="auto"/>
                <w:sz w:val="21"/>
                <w:szCs w:val="21"/>
                <w:highlight w:val="none"/>
                <w:lang w:val="en-US" w:eastAsia="zh-CN"/>
              </w:rPr>
              <w:t xml:space="preserve">   4.投标单位负责人为同一人或者存在直接控股、管理关系的不同单位，不得同时参与该项目；需提供“国家企业信用信息公示系统”中公示的公司信息、股东（或投资人）信息（或提供单位负责人与其他供应商不为同一人或者存在控股、管理关系的承诺书）</w:t>
            </w:r>
            <w:r>
              <w:rPr>
                <w:rFonts w:hint="eastAsia" w:ascii="宋体" w:hAnsi="宋体" w:eastAsia="宋体" w:cs="宋体"/>
                <w:color w:val="auto"/>
                <w:sz w:val="21"/>
                <w:szCs w:val="21"/>
                <w:highlight w:val="none"/>
                <w:lang w:val="zh-CN" w:eastAsia="zh-CN"/>
              </w:rPr>
              <w:t>。</w:t>
            </w:r>
          </w:p>
        </w:tc>
      </w:tr>
      <w:tr w14:paraId="61D2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69" w:type="dxa"/>
            <w:vAlign w:val="center"/>
          </w:tcPr>
          <w:p w14:paraId="43A7407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540" w:type="dxa"/>
            <w:vAlign w:val="center"/>
          </w:tcPr>
          <w:p w14:paraId="0D0C4A1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488" w:type="dxa"/>
            <w:gridSpan w:val="2"/>
            <w:vAlign w:val="center"/>
          </w:tcPr>
          <w:p w14:paraId="4C3B59F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不接受 </w:t>
            </w:r>
          </w:p>
        </w:tc>
      </w:tr>
      <w:tr w14:paraId="1B75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14:paraId="68B7850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540" w:type="dxa"/>
            <w:vAlign w:val="center"/>
          </w:tcPr>
          <w:p w14:paraId="48B35A9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488" w:type="dxa"/>
            <w:gridSpan w:val="2"/>
            <w:vAlign w:val="center"/>
          </w:tcPr>
          <w:p w14:paraId="2ABF80E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供应商自行踏勘现场 </w:t>
            </w:r>
          </w:p>
        </w:tc>
      </w:tr>
      <w:tr w14:paraId="14D6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9" w:type="dxa"/>
            <w:vAlign w:val="center"/>
          </w:tcPr>
          <w:p w14:paraId="63352247">
            <w:pPr>
              <w:adjustRightInd w:val="0"/>
              <w:snapToGrid w:val="0"/>
              <w:spacing w:line="360" w:lineRule="auto"/>
              <w:ind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540" w:type="dxa"/>
            <w:vAlign w:val="center"/>
          </w:tcPr>
          <w:p w14:paraId="0AEB645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488" w:type="dxa"/>
            <w:gridSpan w:val="2"/>
            <w:vAlign w:val="center"/>
          </w:tcPr>
          <w:p w14:paraId="683E1F4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不召开投标预备会</w:t>
            </w:r>
          </w:p>
        </w:tc>
      </w:tr>
      <w:tr w14:paraId="23A6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969" w:type="dxa"/>
            <w:vAlign w:val="center"/>
          </w:tcPr>
          <w:p w14:paraId="284A3844">
            <w:pPr>
              <w:adjustRightInd w:val="0"/>
              <w:snapToGrid w:val="0"/>
              <w:spacing w:line="360" w:lineRule="auto"/>
              <w:ind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540" w:type="dxa"/>
            <w:vAlign w:val="center"/>
          </w:tcPr>
          <w:p w14:paraId="5C774385">
            <w:pPr>
              <w:adjustRightInd w:val="0"/>
              <w:snapToGrid w:val="0"/>
              <w:spacing w:line="360" w:lineRule="auto"/>
              <w:ind w:left="-92" w:leftChars="-44" w:right="-288" w:rightChars="-137" w:firstLine="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供应商提出问题的</w:t>
            </w:r>
          </w:p>
          <w:p w14:paraId="38C2D426">
            <w:pPr>
              <w:adjustRightInd w:val="0"/>
              <w:snapToGrid w:val="0"/>
              <w:spacing w:line="360" w:lineRule="auto"/>
              <w:ind w:left="-92" w:leftChars="-44" w:right="-288" w:rightChars="-137" w:firstLine="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p>
        </w:tc>
        <w:tc>
          <w:tcPr>
            <w:tcW w:w="6488" w:type="dxa"/>
            <w:gridSpan w:val="2"/>
            <w:vAlign w:val="center"/>
          </w:tcPr>
          <w:p w14:paraId="5CFCC57E">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自获取招标文件之日起7个工作日内</w:t>
            </w:r>
          </w:p>
        </w:tc>
      </w:tr>
      <w:tr w14:paraId="70C6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969" w:type="dxa"/>
            <w:vAlign w:val="center"/>
          </w:tcPr>
          <w:p w14:paraId="092E39C0">
            <w:pPr>
              <w:adjustRightInd w:val="0"/>
              <w:snapToGrid w:val="0"/>
              <w:spacing w:line="360" w:lineRule="auto"/>
              <w:ind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540" w:type="dxa"/>
            <w:vAlign w:val="center"/>
          </w:tcPr>
          <w:p w14:paraId="5775E0C8">
            <w:pPr>
              <w:adjustRightInd w:val="0"/>
              <w:snapToGrid w:val="0"/>
              <w:spacing w:line="360" w:lineRule="auto"/>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采购人对招标文件进行必要的澄清或者修改的时间</w:t>
            </w:r>
          </w:p>
        </w:tc>
        <w:tc>
          <w:tcPr>
            <w:tcW w:w="6488" w:type="dxa"/>
            <w:gridSpan w:val="2"/>
            <w:vAlign w:val="center"/>
          </w:tcPr>
          <w:p w14:paraId="2F7FC44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投标截止时间15日前</w:t>
            </w:r>
          </w:p>
        </w:tc>
      </w:tr>
      <w:tr w14:paraId="4FAB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969" w:type="dxa"/>
            <w:vAlign w:val="center"/>
          </w:tcPr>
          <w:p w14:paraId="4338AC3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40" w:type="dxa"/>
            <w:vAlign w:val="center"/>
          </w:tcPr>
          <w:p w14:paraId="7C02617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488" w:type="dxa"/>
            <w:gridSpan w:val="2"/>
            <w:vAlign w:val="center"/>
          </w:tcPr>
          <w:p w14:paraId="79C5208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本项目不允许分包</w:t>
            </w:r>
          </w:p>
        </w:tc>
      </w:tr>
      <w:tr w14:paraId="4560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69" w:type="dxa"/>
            <w:vAlign w:val="center"/>
          </w:tcPr>
          <w:p w14:paraId="4D8F56B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40" w:type="dxa"/>
            <w:vAlign w:val="center"/>
          </w:tcPr>
          <w:p w14:paraId="1F76EF4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6488" w:type="dxa"/>
            <w:gridSpan w:val="2"/>
            <w:vAlign w:val="center"/>
          </w:tcPr>
          <w:p w14:paraId="6900900D">
            <w:pPr>
              <w:pStyle w:val="4"/>
              <w:spacing w:before="0" w:after="0"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实质性条款不允许负偏离</w:t>
            </w:r>
          </w:p>
          <w:p w14:paraId="36982BAB">
            <w:pPr>
              <w:adjustRightInd w:val="0"/>
              <w:snapToGrid w:val="0"/>
              <w:spacing w:line="360" w:lineRule="auto"/>
              <w:rPr>
                <w:rFonts w:hint="eastAsia" w:ascii="宋体" w:hAnsi="宋体" w:eastAsia="宋体" w:cs="宋体"/>
                <w:color w:val="auto"/>
                <w:sz w:val="21"/>
                <w:szCs w:val="21"/>
                <w:highlight w:val="none"/>
                <w:lang w:eastAsia="zh-CN"/>
              </w:rPr>
            </w:pPr>
          </w:p>
        </w:tc>
      </w:tr>
      <w:tr w14:paraId="26E2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9" w:type="dxa"/>
            <w:vAlign w:val="center"/>
          </w:tcPr>
          <w:p w14:paraId="2C3F81F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40" w:type="dxa"/>
            <w:vAlign w:val="center"/>
          </w:tcPr>
          <w:p w14:paraId="69E4E712">
            <w:pPr>
              <w:adjustRightInd w:val="0"/>
              <w:snapToGrid w:val="0"/>
              <w:spacing w:line="360" w:lineRule="auto"/>
              <w:ind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6488" w:type="dxa"/>
            <w:gridSpan w:val="2"/>
            <w:vAlign w:val="center"/>
          </w:tcPr>
          <w:p w14:paraId="4D73F75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修改、补充文件；答疑纪要</w:t>
            </w:r>
          </w:p>
        </w:tc>
      </w:tr>
      <w:tr w14:paraId="767C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69" w:type="dxa"/>
            <w:vAlign w:val="center"/>
          </w:tcPr>
          <w:p w14:paraId="2E222C2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40" w:type="dxa"/>
            <w:vAlign w:val="center"/>
          </w:tcPr>
          <w:p w14:paraId="018C136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6488" w:type="dxa"/>
            <w:gridSpan w:val="2"/>
            <w:vAlign w:val="center"/>
          </w:tcPr>
          <w:p w14:paraId="06D635C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24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09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30 </w:t>
            </w:r>
            <w:r>
              <w:rPr>
                <w:rFonts w:hint="eastAsia" w:ascii="宋体" w:hAnsi="宋体" w:eastAsia="宋体" w:cs="宋体"/>
                <w:color w:val="auto"/>
                <w:sz w:val="21"/>
                <w:szCs w:val="21"/>
                <w:highlight w:val="none"/>
              </w:rPr>
              <w:t>分</w:t>
            </w:r>
          </w:p>
        </w:tc>
      </w:tr>
      <w:tr w14:paraId="37B4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69" w:type="dxa"/>
            <w:vAlign w:val="center"/>
          </w:tcPr>
          <w:p w14:paraId="1DDFF6C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540" w:type="dxa"/>
            <w:vAlign w:val="center"/>
          </w:tcPr>
          <w:p w14:paraId="48A1EF2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488" w:type="dxa"/>
            <w:gridSpan w:val="2"/>
            <w:vAlign w:val="center"/>
          </w:tcPr>
          <w:p w14:paraId="6A01CB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60日历天（从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截止之日算起）</w:t>
            </w:r>
          </w:p>
        </w:tc>
      </w:tr>
      <w:tr w14:paraId="0550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69" w:type="dxa"/>
            <w:vAlign w:val="center"/>
          </w:tcPr>
          <w:p w14:paraId="4CB68E9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40" w:type="dxa"/>
            <w:vAlign w:val="center"/>
          </w:tcPr>
          <w:p w14:paraId="5477337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488" w:type="dxa"/>
            <w:gridSpan w:val="2"/>
            <w:vAlign w:val="center"/>
          </w:tcPr>
          <w:p w14:paraId="15ADA53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w:t>
            </w:r>
          </w:p>
        </w:tc>
      </w:tr>
      <w:tr w14:paraId="5635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69" w:type="dxa"/>
            <w:vAlign w:val="center"/>
          </w:tcPr>
          <w:p w14:paraId="45668F8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540" w:type="dxa"/>
            <w:vAlign w:val="center"/>
          </w:tcPr>
          <w:p w14:paraId="4070BB75">
            <w:pPr>
              <w:adjustRightInd w:val="0"/>
              <w:snapToGrid w:val="0"/>
              <w:spacing w:line="360" w:lineRule="auto"/>
              <w:ind w:left="15" w:leftChars="-44" w:right="-288" w:rightChars="-137" w:hanging="107" w:hanging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p>
          <w:p w14:paraId="1A0A5FF2">
            <w:pPr>
              <w:adjustRightInd w:val="0"/>
              <w:snapToGrid w:val="0"/>
              <w:spacing w:line="360" w:lineRule="auto"/>
              <w:ind w:left="15" w:leftChars="-44" w:right="-288" w:rightChars="-137" w:hanging="107" w:hanging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投标方案</w:t>
            </w:r>
          </w:p>
        </w:tc>
        <w:tc>
          <w:tcPr>
            <w:tcW w:w="6488" w:type="dxa"/>
            <w:gridSpan w:val="2"/>
            <w:vAlign w:val="center"/>
          </w:tcPr>
          <w:p w14:paraId="77B07AD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58E0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69" w:type="dxa"/>
            <w:vAlign w:val="center"/>
          </w:tcPr>
          <w:p w14:paraId="3D4A5D1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w:t>
            </w:r>
          </w:p>
        </w:tc>
        <w:tc>
          <w:tcPr>
            <w:tcW w:w="2540" w:type="dxa"/>
            <w:vAlign w:val="center"/>
          </w:tcPr>
          <w:p w14:paraId="0C787B14">
            <w:pPr>
              <w:adjustRightInd w:val="0"/>
              <w:snapToGrid w:val="0"/>
              <w:spacing w:line="360" w:lineRule="auto"/>
              <w:ind w:left="15" w:leftChars="-44" w:right="-288" w:rightChars="-137" w:hanging="107" w:hanging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6488" w:type="dxa"/>
            <w:gridSpan w:val="2"/>
            <w:vAlign w:val="center"/>
          </w:tcPr>
          <w:p w14:paraId="0338778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供应商需按</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文件要求编制投标文件</w:t>
            </w:r>
          </w:p>
        </w:tc>
      </w:tr>
      <w:tr w14:paraId="5956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9" w:type="dxa"/>
            <w:vAlign w:val="center"/>
          </w:tcPr>
          <w:p w14:paraId="5533F94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2540" w:type="dxa"/>
            <w:vAlign w:val="center"/>
          </w:tcPr>
          <w:p w14:paraId="6182342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488" w:type="dxa"/>
            <w:gridSpan w:val="2"/>
            <w:vAlign w:val="center"/>
          </w:tcPr>
          <w:p w14:paraId="2650399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符合招标文件中投标文件格式要求</w:t>
            </w:r>
          </w:p>
        </w:tc>
      </w:tr>
      <w:tr w14:paraId="317B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969" w:type="dxa"/>
            <w:vAlign w:val="center"/>
          </w:tcPr>
          <w:p w14:paraId="4F884DF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540" w:type="dxa"/>
            <w:vAlign w:val="center"/>
          </w:tcPr>
          <w:p w14:paraId="2643E91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6488" w:type="dxa"/>
            <w:gridSpan w:val="2"/>
            <w:vAlign w:val="center"/>
          </w:tcPr>
          <w:p w14:paraId="2CECED5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登封市公共资源交易中心不见面开标大厅</w:t>
            </w:r>
          </w:p>
        </w:tc>
      </w:tr>
      <w:tr w14:paraId="49A2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969" w:type="dxa"/>
            <w:vAlign w:val="center"/>
          </w:tcPr>
          <w:p w14:paraId="49B8FB1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540" w:type="dxa"/>
            <w:vAlign w:val="center"/>
          </w:tcPr>
          <w:p w14:paraId="133DBD2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488" w:type="dxa"/>
            <w:gridSpan w:val="2"/>
            <w:vAlign w:val="center"/>
          </w:tcPr>
          <w:p w14:paraId="363ADEF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不退还</w:t>
            </w:r>
          </w:p>
        </w:tc>
      </w:tr>
      <w:tr w14:paraId="79A8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969" w:type="dxa"/>
            <w:vAlign w:val="center"/>
          </w:tcPr>
          <w:p w14:paraId="7695D8E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540" w:type="dxa"/>
            <w:vAlign w:val="center"/>
          </w:tcPr>
          <w:p w14:paraId="2E66F7F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开标时间和地点</w:t>
            </w:r>
          </w:p>
        </w:tc>
        <w:tc>
          <w:tcPr>
            <w:tcW w:w="6488" w:type="dxa"/>
            <w:gridSpan w:val="2"/>
            <w:vAlign w:val="center"/>
          </w:tcPr>
          <w:p w14:paraId="389710A3">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开标时间：同投标截止时间。   </w:t>
            </w:r>
          </w:p>
          <w:p w14:paraId="52490F0B">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开标地点：登封市公共资源交易中心不见面开标大厅。</w:t>
            </w:r>
          </w:p>
        </w:tc>
      </w:tr>
      <w:tr w14:paraId="0FED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14:paraId="2FBB348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540" w:type="dxa"/>
            <w:vAlign w:val="center"/>
          </w:tcPr>
          <w:p w14:paraId="18CC991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488" w:type="dxa"/>
            <w:gridSpan w:val="2"/>
            <w:vAlign w:val="center"/>
          </w:tcPr>
          <w:p w14:paraId="17D4C87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人及以上单数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 xml:space="preserve">代表 1 人，专家 4 人。 </w:t>
            </w:r>
          </w:p>
          <w:p w14:paraId="2BB08E6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开标前从</w:t>
            </w:r>
            <w:r>
              <w:rPr>
                <w:rFonts w:hint="eastAsia" w:ascii="宋体" w:hAnsi="宋体" w:cs="宋体"/>
                <w:color w:val="auto"/>
                <w:sz w:val="21"/>
                <w:szCs w:val="21"/>
                <w:highlight w:val="none"/>
                <w:lang w:val="en-US" w:eastAsia="zh-CN"/>
              </w:rPr>
              <w:t>河南省</w:t>
            </w:r>
            <w:r>
              <w:rPr>
                <w:rFonts w:hint="eastAsia" w:ascii="宋体" w:hAnsi="宋体" w:eastAsia="宋体" w:cs="宋体"/>
                <w:color w:val="auto"/>
                <w:sz w:val="21"/>
                <w:szCs w:val="21"/>
                <w:highlight w:val="none"/>
              </w:rPr>
              <w:t>政府采购专家库中随机抽取的有关方面专家不少于成员总数的三分之二。</w:t>
            </w:r>
          </w:p>
          <w:p w14:paraId="5377365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评标专家确定方式：随机抽取。</w:t>
            </w:r>
          </w:p>
        </w:tc>
      </w:tr>
      <w:tr w14:paraId="6595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969" w:type="dxa"/>
            <w:vAlign w:val="center"/>
          </w:tcPr>
          <w:p w14:paraId="6948B12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540" w:type="dxa"/>
            <w:vAlign w:val="center"/>
          </w:tcPr>
          <w:p w14:paraId="7489C39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是否授权评委会确定   中标人</w:t>
            </w:r>
          </w:p>
        </w:tc>
        <w:tc>
          <w:tcPr>
            <w:tcW w:w="6488" w:type="dxa"/>
            <w:gridSpan w:val="2"/>
            <w:vAlign w:val="center"/>
          </w:tcPr>
          <w:p w14:paraId="734B999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否，推荐的中标候选人数：</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3EF4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9" w:type="dxa"/>
            <w:vAlign w:val="center"/>
          </w:tcPr>
          <w:p w14:paraId="59309F9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w:t>
            </w:r>
          </w:p>
        </w:tc>
        <w:tc>
          <w:tcPr>
            <w:tcW w:w="2540" w:type="dxa"/>
            <w:vAlign w:val="center"/>
          </w:tcPr>
          <w:p w14:paraId="3CEF878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488" w:type="dxa"/>
            <w:gridSpan w:val="2"/>
            <w:vAlign w:val="center"/>
          </w:tcPr>
          <w:p w14:paraId="5FB4426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w:t>
            </w:r>
          </w:p>
        </w:tc>
      </w:tr>
      <w:tr w14:paraId="46EF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969" w:type="dxa"/>
            <w:vAlign w:val="center"/>
          </w:tcPr>
          <w:p w14:paraId="3A929B4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028" w:type="dxa"/>
            <w:gridSpan w:val="3"/>
            <w:vAlign w:val="center"/>
          </w:tcPr>
          <w:p w14:paraId="2E08191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14:paraId="62CC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969" w:type="dxa"/>
            <w:vAlign w:val="center"/>
          </w:tcPr>
          <w:p w14:paraId="71D4F56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p>
        </w:tc>
        <w:tc>
          <w:tcPr>
            <w:tcW w:w="2652" w:type="dxa"/>
            <w:gridSpan w:val="2"/>
            <w:vAlign w:val="center"/>
          </w:tcPr>
          <w:p w14:paraId="038B6D3D">
            <w:pPr>
              <w:pStyle w:val="9"/>
              <w:topLinePunct/>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采购预算（即限价）</w:t>
            </w:r>
          </w:p>
        </w:tc>
        <w:tc>
          <w:tcPr>
            <w:tcW w:w="6376" w:type="dxa"/>
            <w:vAlign w:val="center"/>
          </w:tcPr>
          <w:p w14:paraId="00C663B3">
            <w:pPr>
              <w:pStyle w:val="9"/>
              <w:topLinePunct/>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 预 算：</w:t>
            </w:r>
            <w:r>
              <w:rPr>
                <w:rFonts w:hint="eastAsia" w:hAnsi="宋体" w:cs="宋体"/>
                <w:b/>
                <w:color w:val="auto"/>
                <w:sz w:val="21"/>
                <w:szCs w:val="21"/>
                <w:highlight w:val="none"/>
                <w:lang w:val="en-US" w:eastAsia="zh-CN"/>
              </w:rPr>
              <w:t>2720000.00</w:t>
            </w:r>
            <w:r>
              <w:rPr>
                <w:rFonts w:hint="eastAsia" w:ascii="宋体" w:hAnsi="宋体" w:eastAsia="宋体" w:cs="宋体"/>
                <w:b/>
                <w:color w:val="auto"/>
                <w:sz w:val="21"/>
                <w:szCs w:val="21"/>
                <w:highlight w:val="none"/>
                <w:lang w:val="en-US" w:eastAsia="zh-CN"/>
              </w:rPr>
              <w:t>元</w:t>
            </w:r>
            <w:r>
              <w:rPr>
                <w:rFonts w:hint="eastAsia" w:ascii="宋体" w:hAnsi="宋体" w:eastAsia="宋体" w:cs="宋体"/>
                <w:b/>
                <w:color w:val="auto"/>
                <w:sz w:val="21"/>
                <w:szCs w:val="21"/>
                <w:highlight w:val="none"/>
              </w:rPr>
              <w:t xml:space="preserve"> </w:t>
            </w:r>
          </w:p>
          <w:p w14:paraId="1B143661">
            <w:pPr>
              <w:pStyle w:val="9"/>
              <w:topLinePunct/>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报价超出</w:t>
            </w:r>
            <w:r>
              <w:rPr>
                <w:rFonts w:hint="eastAsia" w:ascii="宋体" w:hAnsi="宋体" w:eastAsia="宋体" w:cs="宋体"/>
                <w:b/>
                <w:color w:val="auto"/>
                <w:sz w:val="21"/>
                <w:szCs w:val="21"/>
                <w:highlight w:val="none"/>
                <w:lang w:eastAsia="zh-CN"/>
              </w:rPr>
              <w:t>预算</w:t>
            </w:r>
            <w:r>
              <w:rPr>
                <w:rFonts w:hint="eastAsia" w:ascii="宋体" w:hAnsi="宋体" w:eastAsia="宋体" w:cs="宋体"/>
                <w:b/>
                <w:color w:val="auto"/>
                <w:sz w:val="21"/>
                <w:szCs w:val="21"/>
                <w:highlight w:val="none"/>
              </w:rPr>
              <w:t>最高限价均按废标处理。</w:t>
            </w:r>
          </w:p>
        </w:tc>
      </w:tr>
      <w:tr w14:paraId="7EFD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969" w:type="dxa"/>
            <w:vAlign w:val="center"/>
          </w:tcPr>
          <w:p w14:paraId="42F853C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w:t>
            </w:r>
          </w:p>
        </w:tc>
        <w:tc>
          <w:tcPr>
            <w:tcW w:w="9028" w:type="dxa"/>
            <w:gridSpan w:val="3"/>
            <w:vAlign w:val="center"/>
          </w:tcPr>
          <w:p w14:paraId="055F02B8">
            <w:pPr>
              <w:pStyle w:val="9"/>
              <w:topLinePunct/>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本次采购项目</w:t>
            </w:r>
            <w:r>
              <w:rPr>
                <w:rFonts w:hint="eastAsia" w:ascii="宋体" w:hAnsi="宋体" w:eastAsia="宋体" w:cs="宋体"/>
                <w:color w:val="auto"/>
                <w:sz w:val="21"/>
                <w:szCs w:val="21"/>
                <w:highlight w:val="none"/>
                <w:lang w:eastAsia="zh-CN"/>
              </w:rPr>
              <w:t>代理服务费按</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标金额</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计取，由中标供应商在领取中标通知书时向代理机构缴纳。</w:t>
            </w:r>
          </w:p>
        </w:tc>
      </w:tr>
      <w:tr w14:paraId="7335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14:paraId="784676D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10.1.3</w:t>
            </w:r>
          </w:p>
        </w:tc>
        <w:tc>
          <w:tcPr>
            <w:tcW w:w="9028" w:type="dxa"/>
            <w:gridSpan w:val="3"/>
            <w:vAlign w:val="center"/>
          </w:tcPr>
          <w:p w14:paraId="002152FE">
            <w:pPr>
              <w:pStyle w:val="9"/>
              <w:topLinePunct/>
              <w:spacing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投标单位</w:t>
            </w:r>
            <w:r>
              <w:rPr>
                <w:rFonts w:hint="eastAsia" w:ascii="宋体" w:hAnsi="宋体" w:eastAsia="宋体" w:cs="宋体"/>
                <w:color w:val="auto"/>
                <w:sz w:val="21"/>
                <w:szCs w:val="21"/>
                <w:highlight w:val="none"/>
              </w:rPr>
              <w:t>提供的补充资料均需在评标工作当日评标会结束前提供，</w:t>
            </w:r>
            <w:r>
              <w:rPr>
                <w:rFonts w:hint="eastAsia" w:hAnsi="宋体" w:cs="宋体"/>
                <w:color w:val="auto"/>
                <w:sz w:val="21"/>
                <w:szCs w:val="21"/>
                <w:highlight w:val="none"/>
                <w:lang w:val="en-US" w:eastAsia="zh-CN"/>
              </w:rPr>
              <w:t>投标单位</w:t>
            </w:r>
            <w:r>
              <w:rPr>
                <w:rFonts w:hint="eastAsia" w:ascii="宋体" w:hAnsi="宋体" w:eastAsia="宋体" w:cs="宋体"/>
                <w:color w:val="auto"/>
                <w:sz w:val="21"/>
                <w:szCs w:val="21"/>
                <w:highlight w:val="none"/>
              </w:rPr>
              <w:t>在评标会结束后递交的任何补充、澄清、说明、证明、承诺等资料均不再给予认定，</w:t>
            </w:r>
            <w:r>
              <w:rPr>
                <w:rFonts w:hint="eastAsia" w:hAnsi="宋体" w:cs="宋体"/>
                <w:color w:val="auto"/>
                <w:sz w:val="21"/>
                <w:szCs w:val="21"/>
                <w:highlight w:val="none"/>
                <w:lang w:val="en-US" w:eastAsia="zh-CN"/>
              </w:rPr>
              <w:t>投标单位</w:t>
            </w:r>
            <w:r>
              <w:rPr>
                <w:rFonts w:hint="eastAsia" w:ascii="宋体" w:hAnsi="宋体" w:eastAsia="宋体" w:cs="宋体"/>
                <w:color w:val="auto"/>
                <w:sz w:val="21"/>
                <w:szCs w:val="21"/>
                <w:highlight w:val="none"/>
              </w:rPr>
              <w:t>自行承担未能按时提供上述资料造成的后果。</w:t>
            </w:r>
          </w:p>
        </w:tc>
      </w:tr>
      <w:tr w14:paraId="6A5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14:paraId="0756176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10.1.4</w:t>
            </w:r>
          </w:p>
        </w:tc>
        <w:tc>
          <w:tcPr>
            <w:tcW w:w="9028" w:type="dxa"/>
            <w:gridSpan w:val="3"/>
            <w:vAlign w:val="center"/>
          </w:tcPr>
          <w:p w14:paraId="3BEA94B5">
            <w:pPr>
              <w:pStyle w:val="9"/>
              <w:topLinePunct/>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政府采购相关政策</w:t>
            </w:r>
          </w:p>
          <w:p w14:paraId="64A6D487">
            <w:pPr>
              <w:pStyle w:val="9"/>
              <w:topLinePunct/>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A:</w:t>
            </w:r>
            <w:r>
              <w:rPr>
                <w:rFonts w:hint="eastAsia" w:ascii="宋体" w:hAnsi="宋体" w:eastAsia="宋体" w:cs="宋体"/>
                <w:b/>
                <w:bCs/>
                <w:color w:val="auto"/>
                <w:sz w:val="21"/>
                <w:szCs w:val="21"/>
                <w:highlight w:val="none"/>
                <w:lang w:eastAsia="zh-CN"/>
              </w:rPr>
              <w:t>根据财政部、工信部关于印发《政府采购促进中小企业发展管理办法》的通知（财库〔2020〕46号 ）文件</w:t>
            </w:r>
            <w:r>
              <w:rPr>
                <w:rFonts w:hint="eastAsia" w:ascii="宋体" w:hAnsi="宋体" w:eastAsia="宋体" w:cs="宋体"/>
                <w:b/>
                <w:bCs/>
                <w:color w:val="auto"/>
                <w:sz w:val="21"/>
                <w:szCs w:val="21"/>
                <w:highlight w:val="none"/>
                <w:lang w:val="en-US" w:eastAsia="zh-CN"/>
              </w:rPr>
              <w:t>及郑州市财政局关于进一步提高政府采购效率优化营商环境有关事项的通知《郑财购</w:t>
            </w:r>
            <w:r>
              <w:rPr>
                <w:rFonts w:hint="eastAsia" w:ascii="宋体" w:hAnsi="宋体" w:eastAsia="宋体" w:cs="宋体"/>
                <w:b/>
                <w:bCs/>
                <w:color w:val="auto"/>
                <w:sz w:val="21"/>
                <w:szCs w:val="21"/>
                <w:highlight w:val="none"/>
                <w:lang w:eastAsia="zh-CN"/>
              </w:rPr>
              <w:t>〔202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eastAsia="zh-CN"/>
              </w:rPr>
              <w:t>号</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规定：</w:t>
            </w:r>
          </w:p>
          <w:p w14:paraId="6DDDB911">
            <w:pPr>
              <w:pStyle w:val="9"/>
              <w:topLinePunct/>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对于经主管预算单位统筹后未预留份额专门面向中小企业采购的采购项目，以及预留份额项目中的非预留部分采购包，应当对符合本办法规定的小微企业报价给予</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%的扣除，用扣除后的价格参加评审，</w:t>
            </w:r>
            <w:r>
              <w:rPr>
                <w:rFonts w:hint="eastAsia" w:ascii="宋体" w:hAnsi="宋体" w:eastAsia="宋体" w:cs="宋体"/>
                <w:b/>
                <w:bCs/>
                <w:color w:val="auto"/>
                <w:sz w:val="21"/>
                <w:szCs w:val="21"/>
                <w:highlight w:val="none"/>
                <w:lang w:eastAsia="zh-CN"/>
              </w:rPr>
              <w:t>本项目的扣除比例为</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eastAsia="zh-CN"/>
              </w:rPr>
              <w:t>%；</w:t>
            </w:r>
          </w:p>
          <w:p w14:paraId="1694F76F">
            <w:pPr>
              <w:pStyle w:val="9"/>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关于监狱企业：视同小微企业。须提供由省级以上监狱管理局、戒毒管理局（含新疆生产建设兵团）出具的属于监狱企业的证明文件，否则不考虑价格扣除。</w:t>
            </w:r>
          </w:p>
          <w:p w14:paraId="33C9EE8B">
            <w:pPr>
              <w:pStyle w:val="9"/>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关于残疾人福利性单位：视同小微企业。须提供完整的“残疾人福利性单位声明函”，否则在价格评审时不予考虑价格扣除。残疾人福利性单位属于小型、微型企业的，不重复享受政策。</w:t>
            </w:r>
          </w:p>
          <w:p w14:paraId="3BA1EA6D">
            <w:pPr>
              <w:pStyle w:val="9"/>
              <w:topLinePunct/>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B:</w:t>
            </w:r>
            <w:r>
              <w:rPr>
                <w:rFonts w:hint="eastAsia" w:ascii="宋体" w:hAnsi="宋体" w:eastAsia="宋体" w:cs="宋体"/>
                <w:b/>
                <w:bCs/>
                <w:color w:val="auto"/>
                <w:sz w:val="21"/>
                <w:szCs w:val="21"/>
                <w:highlight w:val="none"/>
                <w:lang w:val="zh-CN"/>
              </w:rPr>
              <w:t>政府强制采购节能、环保产品</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val="zh-CN"/>
              </w:rPr>
              <w:t>：</w:t>
            </w:r>
          </w:p>
          <w:p w14:paraId="5969A64C">
            <w:pPr>
              <w:pStyle w:val="9"/>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采购货物属于节能、环保产品政府采购品目清单中强制采购产品的，拟供货物必须具有国家确定的认证机构出具的、处于有效期之内的节能、环保产品认证证书，否则投标文件将被否决。</w:t>
            </w:r>
          </w:p>
          <w:p w14:paraId="24245BCA">
            <w:pPr>
              <w:pStyle w:val="9"/>
              <w:topLinePunct/>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C:</w:t>
            </w:r>
            <w:r>
              <w:rPr>
                <w:rFonts w:hint="eastAsia" w:ascii="宋体" w:hAnsi="宋体" w:eastAsia="宋体" w:cs="宋体"/>
                <w:b/>
                <w:bCs/>
                <w:color w:val="auto"/>
                <w:sz w:val="21"/>
                <w:szCs w:val="21"/>
                <w:highlight w:val="none"/>
              </w:rPr>
              <w:t>享受扶持政策获得政府采购合同的要求：</w:t>
            </w:r>
          </w:p>
          <w:p w14:paraId="58AD0120">
            <w:pPr>
              <w:pStyle w:val="9"/>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政府采购促进中小企业发展管理办法》规定享受扶持政策获得政府采购合同的，小微企业不得将合同分包给大中型企业，中型企业不得将合同分包给大型企业。根据政府采购政策，本项目如涉及到计算机办公设备产品，供应商所投产品必须是预装正版操作系统软件的计算机产品。</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lang w:val="en-US" w:eastAsia="zh-CN"/>
              </w:rPr>
              <w:t>D</w:t>
            </w:r>
            <w:r>
              <w:rPr>
                <w:rFonts w:hint="eastAsia" w:ascii="宋体" w:hAnsi="宋体" w:eastAsia="宋体" w:cs="宋体"/>
                <w:b/>
                <w:bCs/>
                <w:color w:val="auto"/>
                <w:sz w:val="21"/>
                <w:szCs w:val="21"/>
                <w:highlight w:val="none"/>
              </w:rPr>
              <w:t>、其它未尽事宜，按国家有关法律、法规执行。</w:t>
            </w:r>
          </w:p>
        </w:tc>
      </w:tr>
      <w:tr w14:paraId="028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14:paraId="575C973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10.1.5</w:t>
            </w:r>
          </w:p>
        </w:tc>
        <w:tc>
          <w:tcPr>
            <w:tcW w:w="9028" w:type="dxa"/>
            <w:gridSpan w:val="3"/>
            <w:vAlign w:val="center"/>
          </w:tcPr>
          <w:p w14:paraId="6DC2998D">
            <w:pPr>
              <w:pStyle w:val="9"/>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本项目所有澄清、补遗、补充通知等均在</w:t>
            </w:r>
            <w:r>
              <w:rPr>
                <w:rFonts w:hint="eastAsia" w:ascii="宋体" w:hAnsi="宋体" w:eastAsia="宋体" w:cs="宋体"/>
                <w:color w:val="auto"/>
                <w:sz w:val="21"/>
                <w:szCs w:val="21"/>
                <w:highlight w:val="none"/>
                <w:lang w:val="en-US" w:eastAsia="zh-CN"/>
              </w:rPr>
              <w:t>登封</w:t>
            </w:r>
            <w:r>
              <w:rPr>
                <w:rFonts w:hint="eastAsia" w:ascii="宋体" w:hAnsi="宋体" w:eastAsia="宋体" w:cs="宋体"/>
                <w:color w:val="auto"/>
                <w:sz w:val="21"/>
                <w:szCs w:val="21"/>
                <w:highlight w:val="none"/>
              </w:rPr>
              <w:t>市公共资源交易中心（http://dfggzyjy.dengfeng.gov.cn）电子交易平台上发布，请各投标单位注意在网站下载。</w:t>
            </w:r>
          </w:p>
        </w:tc>
      </w:tr>
      <w:tr w14:paraId="6897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14:paraId="55D2F189">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6</w:t>
            </w:r>
          </w:p>
        </w:tc>
        <w:tc>
          <w:tcPr>
            <w:tcW w:w="9028" w:type="dxa"/>
            <w:gridSpan w:val="3"/>
            <w:vAlign w:val="center"/>
          </w:tcPr>
          <w:p w14:paraId="6D01AAA4">
            <w:pPr>
              <w:adjustRightInd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文件中要求加盖的单位公章指投标单位电子签章，法定代表人或其委托代理人签字或盖章指法定代表人或其委托代理人电子私章或签字。</w:t>
            </w:r>
            <w:r>
              <w:rPr>
                <w:rFonts w:hint="eastAsia" w:ascii="宋体" w:hAnsi="宋体" w:cs="宋体"/>
                <w:color w:val="auto"/>
                <w:sz w:val="21"/>
                <w:szCs w:val="21"/>
                <w:highlight w:val="none"/>
                <w:lang w:val="en-US" w:eastAsia="zh-CN"/>
              </w:rPr>
              <w:t xml:space="preserve">                                                                                                                                                                                                                                                                                                                                                                                                               </w:t>
            </w:r>
          </w:p>
        </w:tc>
      </w:tr>
      <w:tr w14:paraId="543E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14:paraId="5979E05A">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9028" w:type="dxa"/>
            <w:gridSpan w:val="3"/>
            <w:vAlign w:val="center"/>
          </w:tcPr>
          <w:p w14:paraId="385A3121">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评标专家劳务报酬支付：评标专家劳务报酬按河南省财政厅关于印发《河南省政府采购评审专家劳务报酬支付标准》的通知（豫财购[2017]9 号）文件规定，在评审结束之日起 10 个工作日内支付（当地评标专家劳务报酬由现金当场支付，远程评标专家劳务报酬通过转账方式支付）。</w:t>
            </w:r>
          </w:p>
        </w:tc>
      </w:tr>
      <w:tr w14:paraId="28D9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14:paraId="55F3FC4B">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9028" w:type="dxa"/>
            <w:gridSpan w:val="3"/>
            <w:vAlign w:val="center"/>
          </w:tcPr>
          <w:p w14:paraId="0A4DC52B">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政府采购质疑和投诉：质疑与投诉：</w:t>
            </w:r>
          </w:p>
          <w:p w14:paraId="60C28B2E">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1、接收质疑函的方式、联系部门、联系电话和通讯地址</w:t>
            </w:r>
          </w:p>
          <w:p w14:paraId="0BEF6ADF">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1)接收质疑函的方式:纸质版</w:t>
            </w:r>
          </w:p>
          <w:p w14:paraId="3B3779E6">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2)联系部门：智博国际工程咨询有限公司，黄天鹏</w:t>
            </w:r>
          </w:p>
          <w:p w14:paraId="37DFB8B5">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3)联系电话:17803825996</w:t>
            </w:r>
          </w:p>
          <w:p w14:paraId="4AA2FAC8">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4)通讯地址：登封办公地址：登封市中禾商务广场B座1107室</w:t>
            </w:r>
          </w:p>
          <w:p w14:paraId="28487453">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2、质疑期限</w:t>
            </w:r>
          </w:p>
          <w:p w14:paraId="3C79C2E3">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供应商认为采购文件、采购过程、中标或者成交结果使自己的权益受到损害的，可以在知道或者应知其权益受到损害之日起7个工作日内，以书面形式向采购人、采购代理机构提出质疑。</w:t>
            </w:r>
          </w:p>
          <w:p w14:paraId="4405086E">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3、供应商在法定质疑期内一次性提出针对同一采购程序环节的质疑。</w:t>
            </w:r>
          </w:p>
          <w:p w14:paraId="52558423">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提出质疑应当提交质疑函和必要的证明材料：质疑供应商应按照财政部制定的《政府采购质疑函范本》格式（可从财政部官方网站下载）或本章附件1格式及《政府采购质疑和投诉办法》的要求和和必要的证明材料，否则有权拒收。</w:t>
            </w:r>
          </w:p>
          <w:p w14:paraId="237F4933">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附件1：质疑函格式（统一格式，需提供原件）</w:t>
            </w:r>
          </w:p>
          <w:p w14:paraId="49A4CADC">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 疑 函</w:t>
            </w:r>
          </w:p>
          <w:p w14:paraId="569765EC">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一、质疑供应商基本信息</w:t>
            </w:r>
          </w:p>
          <w:p w14:paraId="28BF4F61">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质疑供应商：</w:t>
            </w:r>
          </w:p>
          <w:p w14:paraId="710F2211">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地址：邮编：</w:t>
            </w:r>
          </w:p>
          <w:p w14:paraId="700B4048">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联系人：联系电话：</w:t>
            </w:r>
          </w:p>
          <w:p w14:paraId="02D177ED">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授权代表：</w:t>
            </w:r>
          </w:p>
          <w:p w14:paraId="4C7D07EC">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p>
          <w:p w14:paraId="5C74E8D2">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地址：邮编：</w:t>
            </w:r>
          </w:p>
          <w:p w14:paraId="36DE4504">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二、质疑项目基本信息</w:t>
            </w:r>
          </w:p>
          <w:p w14:paraId="57A25685">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质疑项目的名称：</w:t>
            </w:r>
          </w:p>
          <w:p w14:paraId="29A3A084">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质疑项目的编号：</w:t>
            </w:r>
          </w:p>
          <w:p w14:paraId="65A55FDB">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包号：</w:t>
            </w:r>
          </w:p>
          <w:p w14:paraId="48DC8765">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采购人名称：</w:t>
            </w:r>
          </w:p>
          <w:p w14:paraId="2BCC2B05">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采购文件获取日期：</w:t>
            </w:r>
          </w:p>
          <w:p w14:paraId="5F10831B">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三、质疑事项具体内容</w:t>
            </w:r>
          </w:p>
          <w:p w14:paraId="55287386">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质疑事项1：</w:t>
            </w:r>
          </w:p>
          <w:p w14:paraId="7F1D40D0">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事实依据：</w:t>
            </w:r>
          </w:p>
          <w:p w14:paraId="260E7FC1">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法律依据：</w:t>
            </w:r>
          </w:p>
          <w:p w14:paraId="52CDF619">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质疑事项2：</w:t>
            </w:r>
          </w:p>
          <w:p w14:paraId="20A8B77F">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09180A7A">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四、与质疑事项相关的质疑请求请求：</w:t>
            </w:r>
          </w:p>
          <w:p w14:paraId="37BF03B4">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签字（签章）：</w:t>
            </w:r>
          </w:p>
          <w:p w14:paraId="1993F965">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公章：</w:t>
            </w:r>
          </w:p>
          <w:p w14:paraId="361D533F">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w:t>
            </w:r>
          </w:p>
          <w:p w14:paraId="26204D59">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质疑函制作说明：</w:t>
            </w:r>
          </w:p>
          <w:p w14:paraId="0C2DB6A3">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供应商提出质疑时，应提交质疑函和必要的证明材料。</w:t>
            </w:r>
          </w:p>
          <w:p w14:paraId="6E773E9A">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质疑供应商若委托代理人进行质疑的，质疑函应按 要求列明 授权代表 的有关内容，并在附件中提交由质疑供应商签署的授权委托书。授权委托书应载明代理人的姓名或者名称，代理事项 、具体权限、期限和相关事项。</w:t>
            </w:r>
          </w:p>
          <w:p w14:paraId="69D0C53A">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质疑供应商若对项目的某一分包进行质疑，质疑函中应列明具体分包号。</w:t>
            </w:r>
          </w:p>
          <w:p w14:paraId="40E73E09">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 质疑函的质疑事项应具体、明确，并有必要的事实依据和法律依据。</w:t>
            </w:r>
          </w:p>
          <w:p w14:paraId="41C84BA0">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 质疑函的质疑请求应与质疑事项相关。</w:t>
            </w:r>
          </w:p>
          <w:p w14:paraId="48038616">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6. 质疑供应商为自然人的，质疑函应由本人签字；质疑供应商为法人或者其他组织的，质疑函应由法定代表人、主要负责人 或者他授权代表签字或者盖章，并加盖公章。</w:t>
            </w:r>
          </w:p>
        </w:tc>
      </w:tr>
      <w:tr w14:paraId="7AE3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9" w:type="dxa"/>
            <w:vAlign w:val="center"/>
          </w:tcPr>
          <w:p w14:paraId="397B3D30">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028" w:type="dxa"/>
            <w:gridSpan w:val="3"/>
            <w:vAlign w:val="center"/>
          </w:tcPr>
          <w:p w14:paraId="2FEA20FD">
            <w:pPr>
              <w:adjustRightInd w:val="0"/>
              <w:snapToGrid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中小企业划分标准（所属行业）：</w:t>
            </w:r>
            <w:r>
              <w:rPr>
                <w:rFonts w:hint="eastAsia" w:ascii="宋体" w:hAnsi="宋体" w:eastAsia="宋体" w:cs="宋体"/>
                <w:color w:val="auto"/>
                <w:kern w:val="2"/>
                <w:sz w:val="21"/>
                <w:szCs w:val="21"/>
                <w:highlight w:val="none"/>
                <w:lang w:val="en-US" w:eastAsia="zh-CN" w:bidi="ar-SA"/>
              </w:rPr>
              <w:t>软件和信息技术服务业</w:t>
            </w:r>
          </w:p>
        </w:tc>
      </w:tr>
      <w:tr w14:paraId="634E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9" w:type="dxa"/>
            <w:vAlign w:val="center"/>
          </w:tcPr>
          <w:p w14:paraId="50A9920D">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9028" w:type="dxa"/>
            <w:gridSpan w:val="3"/>
            <w:vAlign w:val="center"/>
          </w:tcPr>
          <w:p w14:paraId="5FCCC1C7">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2"/>
                <w:sz w:val="21"/>
                <w:szCs w:val="21"/>
                <w:highlight w:val="none"/>
                <w:lang w:eastAsia="zh-CN"/>
              </w:rPr>
              <w:t>标书雷同性分析</w:t>
            </w:r>
            <w:r>
              <w:rPr>
                <w:rFonts w:hint="eastAsia" w:ascii="宋体" w:hAnsi="宋体" w:eastAsia="宋体" w:cs="宋体"/>
                <w:b/>
                <w:bCs/>
                <w:color w:val="auto"/>
                <w:spacing w:val="-2"/>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响应文件制作机器码一致按废标处理。</w:t>
            </w:r>
          </w:p>
        </w:tc>
      </w:tr>
      <w:tr w14:paraId="1692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9" w:type="dxa"/>
            <w:vAlign w:val="center"/>
          </w:tcPr>
          <w:p w14:paraId="1D0A9825">
            <w:pPr>
              <w:adjustRightInd w:val="0"/>
              <w:snapToGrid w:val="0"/>
              <w:spacing w:line="360" w:lineRule="auto"/>
              <w:jc w:val="center"/>
              <w:rPr>
                <w:rFonts w:hint="default" w:ascii="宋体" w:hAnsi="宋体" w:eastAsia="宋体" w:cs="宋体"/>
                <w:color w:val="auto"/>
                <w:sz w:val="21"/>
                <w:szCs w:val="21"/>
                <w:highlight w:val="none"/>
                <w:lang w:val="en-US" w:eastAsia="zh-CN"/>
              </w:rPr>
            </w:pPr>
            <w:bookmarkStart w:id="19" w:name="_Toc192386386"/>
            <w:bookmarkStart w:id="20" w:name="_Toc12667"/>
            <w:bookmarkStart w:id="21" w:name="_Toc317668982"/>
            <w:r>
              <w:rPr>
                <w:rFonts w:hint="eastAsia" w:ascii="宋体" w:hAnsi="宋体" w:cs="宋体"/>
                <w:color w:val="auto"/>
                <w:sz w:val="21"/>
                <w:szCs w:val="21"/>
                <w:highlight w:val="none"/>
                <w:lang w:val="en-US" w:eastAsia="zh-CN"/>
              </w:rPr>
              <w:t>13</w:t>
            </w:r>
          </w:p>
        </w:tc>
        <w:tc>
          <w:tcPr>
            <w:tcW w:w="9028" w:type="dxa"/>
            <w:gridSpan w:val="3"/>
            <w:vAlign w:val="center"/>
          </w:tcPr>
          <w:p w14:paraId="58ABDD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登封市</w:t>
            </w:r>
            <w:r>
              <w:rPr>
                <w:rFonts w:hint="eastAsia" w:ascii="宋体" w:hAnsi="宋体" w:eastAsia="宋体" w:cs="宋体"/>
                <w:b/>
                <w:bCs/>
                <w:sz w:val="24"/>
                <w:szCs w:val="24"/>
                <w:highlight w:val="none"/>
                <w:lang w:eastAsia="zh-CN"/>
              </w:rPr>
              <w:t>政府采购合同融资政策告知函</w:t>
            </w:r>
          </w:p>
          <w:p w14:paraId="4100454B">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各供应商:</w:t>
            </w:r>
          </w:p>
          <w:p w14:paraId="7E8AF9AE">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欢迎贵公司参与登封市政府采购活动!</w:t>
            </w:r>
          </w:p>
          <w:p w14:paraId="0797A4AC">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合同融资是登封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 10 号)和《郑州市财政局关于加强和推进政府采购合同融资工作的通知》（郑财购（2018）4号），按照双方自愿的原则提供便捷、优惠的贷款服务。</w:t>
            </w:r>
          </w:p>
          <w:p w14:paraId="7694A47E">
            <w:pPr>
              <w:adjustRightInd w:val="0"/>
              <w:snapToGrid w:val="0"/>
              <w:spacing w:line="360" w:lineRule="auto"/>
              <w:rPr>
                <w:rFonts w:hint="eastAsia" w:ascii="宋体" w:hAnsi="宋体" w:eastAsia="宋体" w:cs="宋体"/>
                <w:b/>
                <w:bCs/>
                <w:color w:val="auto"/>
                <w:spacing w:val="-2"/>
                <w:sz w:val="21"/>
                <w:szCs w:val="21"/>
                <w:highlight w:val="none"/>
                <w:lang w:eastAsia="zh-CN"/>
              </w:rPr>
            </w:pPr>
            <w:r>
              <w:rPr>
                <w:rFonts w:hint="eastAsia" w:ascii="宋体" w:hAnsi="宋体" w:eastAsia="宋体" w:cs="宋体"/>
                <w:color w:val="auto"/>
                <w:kern w:val="2"/>
                <w:sz w:val="21"/>
                <w:szCs w:val="21"/>
                <w:highlight w:val="none"/>
                <w:lang w:val="en-US" w:eastAsia="zh-CN" w:bidi="ar-SA"/>
              </w:rPr>
              <w:t>贷款渠道和提供贷款的金融机构，可以在郑州市政府采购网“郑州市政府采购合同融资入口”查询联系。</w:t>
            </w:r>
          </w:p>
        </w:tc>
      </w:tr>
    </w:tbl>
    <w:p w14:paraId="00F541D3">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文件前后不一致时，以投标须知前附表为准。</w:t>
      </w:r>
    </w:p>
    <w:p w14:paraId="11DB98A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072CCC6">
      <w:pPr>
        <w:pStyle w:val="4"/>
        <w:spacing w:before="0" w:after="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总则</w:t>
      </w:r>
      <w:bookmarkEnd w:id="19"/>
      <w:bookmarkEnd w:id="20"/>
      <w:bookmarkEnd w:id="21"/>
    </w:p>
    <w:p w14:paraId="70CC73BC">
      <w:pPr>
        <w:pStyle w:val="6"/>
        <w:spacing w:before="0" w:after="0" w:line="440" w:lineRule="exact"/>
        <w:ind w:firstLine="422" w:firstLineChars="200"/>
        <w:rPr>
          <w:rFonts w:hint="eastAsia" w:ascii="宋体" w:hAnsi="宋体" w:eastAsia="宋体" w:cs="宋体"/>
          <w:color w:val="auto"/>
          <w:sz w:val="21"/>
          <w:szCs w:val="21"/>
          <w:highlight w:val="none"/>
        </w:rPr>
      </w:pPr>
      <w:bookmarkStart w:id="22" w:name="_Toc317668983"/>
      <w:bookmarkStart w:id="23" w:name="_Toc192386387"/>
      <w:r>
        <w:rPr>
          <w:rFonts w:hint="eastAsia" w:ascii="宋体" w:hAnsi="宋体" w:eastAsia="宋体" w:cs="宋体"/>
          <w:color w:val="auto"/>
          <w:sz w:val="21"/>
          <w:szCs w:val="21"/>
          <w:highlight w:val="none"/>
        </w:rPr>
        <w:t>1.1 项目概况</w:t>
      </w:r>
      <w:bookmarkEnd w:id="22"/>
      <w:bookmarkEnd w:id="23"/>
    </w:p>
    <w:p w14:paraId="519A3F71">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根据《中华人民共和国政府采购法》、《中华人民共和国政府采购法实施条例》、《政府采购货物和服务招标投标管理办法》等有关法律、法规和规章的规定，本招标项目已具备招标条件，现对本项目进行招标。</w:t>
      </w:r>
    </w:p>
    <w:p w14:paraId="0C7C848A">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本项目采购人：见供应商须知前附表。</w:t>
      </w:r>
    </w:p>
    <w:p w14:paraId="19BA677B">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本项目采购代理机构：见供应商须知前附表。</w:t>
      </w:r>
    </w:p>
    <w:p w14:paraId="74367F4D">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本项目名称：见供应商须知前附表。</w:t>
      </w:r>
    </w:p>
    <w:p w14:paraId="31673046">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本项目实施地点：见供应商须知前附表。</w:t>
      </w:r>
    </w:p>
    <w:p w14:paraId="577FDBD3">
      <w:pPr>
        <w:pStyle w:val="6"/>
        <w:spacing w:before="0" w:after="0" w:line="440" w:lineRule="exact"/>
        <w:ind w:firstLine="422" w:firstLineChars="200"/>
        <w:rPr>
          <w:rFonts w:hint="eastAsia" w:ascii="宋体" w:hAnsi="宋体" w:eastAsia="宋体" w:cs="宋体"/>
          <w:color w:val="auto"/>
          <w:sz w:val="21"/>
          <w:szCs w:val="21"/>
          <w:highlight w:val="none"/>
        </w:rPr>
      </w:pPr>
      <w:bookmarkStart w:id="24" w:name="_Toc317668984"/>
      <w:bookmarkStart w:id="25" w:name="_Toc192386388"/>
      <w:r>
        <w:rPr>
          <w:rFonts w:hint="eastAsia" w:ascii="宋体" w:hAnsi="宋体" w:eastAsia="宋体" w:cs="宋体"/>
          <w:color w:val="auto"/>
          <w:sz w:val="21"/>
          <w:szCs w:val="21"/>
          <w:highlight w:val="none"/>
        </w:rPr>
        <w:t>1.2 资金来源和落实情况</w:t>
      </w:r>
      <w:bookmarkEnd w:id="24"/>
      <w:bookmarkEnd w:id="25"/>
    </w:p>
    <w:p w14:paraId="3A86991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本招标项目的资金来源：见供应商须知前附表。</w:t>
      </w:r>
    </w:p>
    <w:p w14:paraId="70255EA3">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本招标项目的出资比例：见供应商须知前附表。</w:t>
      </w:r>
    </w:p>
    <w:p w14:paraId="5D73E9B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本招标项目的资金落实情况：见供应商须知前附表。</w:t>
      </w:r>
    </w:p>
    <w:p w14:paraId="0475D31E">
      <w:pPr>
        <w:pStyle w:val="6"/>
        <w:spacing w:before="0" w:after="0" w:line="440" w:lineRule="exact"/>
        <w:ind w:firstLine="422" w:firstLineChars="200"/>
        <w:rPr>
          <w:rFonts w:hint="eastAsia" w:ascii="宋体" w:hAnsi="宋体" w:eastAsia="宋体" w:cs="宋体"/>
          <w:color w:val="auto"/>
          <w:sz w:val="21"/>
          <w:szCs w:val="21"/>
          <w:highlight w:val="none"/>
        </w:rPr>
      </w:pPr>
      <w:bookmarkStart w:id="26" w:name="_Toc317668985"/>
      <w:bookmarkStart w:id="27" w:name="_Toc192386389"/>
      <w:r>
        <w:rPr>
          <w:rFonts w:hint="eastAsia" w:ascii="宋体" w:hAnsi="宋体" w:eastAsia="宋体" w:cs="宋体"/>
          <w:color w:val="auto"/>
          <w:sz w:val="21"/>
          <w:szCs w:val="21"/>
          <w:highlight w:val="none"/>
        </w:rPr>
        <w:t>1.3 采购范围、服务期限和</w:t>
      </w:r>
      <w:bookmarkEnd w:id="26"/>
      <w:bookmarkEnd w:id="27"/>
      <w:r>
        <w:rPr>
          <w:rFonts w:hint="eastAsia" w:ascii="宋体" w:hAnsi="宋体" w:eastAsia="宋体" w:cs="宋体"/>
          <w:color w:val="auto"/>
          <w:sz w:val="21"/>
          <w:szCs w:val="21"/>
          <w:highlight w:val="none"/>
        </w:rPr>
        <w:t>质量标准要求</w:t>
      </w:r>
    </w:p>
    <w:p w14:paraId="7C0DB35D">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本次采购范围：见供应商须知前附表。</w:t>
      </w:r>
    </w:p>
    <w:p w14:paraId="69FA023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标段划分：见供应商须知前附表。</w:t>
      </w:r>
    </w:p>
    <w:p w14:paraId="46112CF3">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合同履行期限：见供应商须知前附表。</w:t>
      </w:r>
    </w:p>
    <w:p w14:paraId="07C7F75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质量标准：见供应商须知前附表。</w:t>
      </w:r>
    </w:p>
    <w:p w14:paraId="20827E4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质保期：见供应商须知前附表。</w:t>
      </w:r>
    </w:p>
    <w:p w14:paraId="6A071DFC">
      <w:pPr>
        <w:pStyle w:val="6"/>
        <w:spacing w:before="0" w:after="0" w:line="440" w:lineRule="exact"/>
        <w:ind w:firstLine="422" w:firstLineChars="200"/>
        <w:rPr>
          <w:rFonts w:hint="eastAsia" w:ascii="宋体" w:hAnsi="宋体" w:eastAsia="宋体" w:cs="宋体"/>
          <w:color w:val="auto"/>
          <w:sz w:val="21"/>
          <w:szCs w:val="21"/>
          <w:highlight w:val="none"/>
        </w:rPr>
      </w:pPr>
      <w:bookmarkStart w:id="28" w:name="_Toc317668986"/>
      <w:bookmarkStart w:id="29" w:name="_Toc192386391"/>
      <w:r>
        <w:rPr>
          <w:rFonts w:hint="eastAsia" w:ascii="宋体" w:hAnsi="宋体" w:eastAsia="宋体" w:cs="宋体"/>
          <w:color w:val="auto"/>
          <w:sz w:val="21"/>
          <w:szCs w:val="21"/>
          <w:highlight w:val="none"/>
        </w:rPr>
        <w:t>1.4 供应商资格要求</w:t>
      </w:r>
      <w:bookmarkEnd w:id="28"/>
      <w:bookmarkEnd w:id="29"/>
    </w:p>
    <w:p w14:paraId="4CE959EC">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供应商应具备承担本项目的资质条件、能力和信誉：见供应商须知前附表；</w:t>
      </w:r>
    </w:p>
    <w:p w14:paraId="1B7FBD3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供应商不得存在下列情形之一：</w:t>
      </w:r>
    </w:p>
    <w:p w14:paraId="5D4F2482">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（1）为采购人不具有独立法人资格的附属机构（单位）；</w:t>
      </w:r>
    </w:p>
    <w:p w14:paraId="70C9E181">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（2）为本项目提供采购代理服务的；</w:t>
      </w:r>
    </w:p>
    <w:p w14:paraId="5682794D">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（3）与本项目的采购代理机构同为一个法定代表人的；</w:t>
      </w:r>
    </w:p>
    <w:p w14:paraId="53369BC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（4）与本项目的采购代理机构相互控股或参股的；</w:t>
      </w:r>
    </w:p>
    <w:p w14:paraId="7640D6DE">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（5）与本项目的采购代理机构相互任职或工作的；</w:t>
      </w:r>
    </w:p>
    <w:p w14:paraId="5654513F">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（6）被责令停业的；</w:t>
      </w:r>
    </w:p>
    <w:p w14:paraId="088AA3A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（7）被暂停或取消投标资格的；</w:t>
      </w:r>
    </w:p>
    <w:p w14:paraId="0CB58D09">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（8）财产被接管或冻结的；</w:t>
      </w:r>
    </w:p>
    <w:p w14:paraId="2C41553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（9）在最近三年内有骗取中标或严重违约或重大质量问题的。</w:t>
      </w:r>
    </w:p>
    <w:p w14:paraId="64E6129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1.4.3供应商须知前附表规定接受联合体投标的，除应符合本章第1.4项和供应商须知前附表的要求外，还应遵守以下规定：</w:t>
      </w:r>
    </w:p>
    <w:p w14:paraId="40CC459E">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2A214AA0">
      <w:pPr>
        <w:pStyle w:val="6"/>
        <w:spacing w:before="0" w:after="0" w:line="440" w:lineRule="exact"/>
        <w:ind w:firstLine="422" w:firstLineChars="200"/>
        <w:rPr>
          <w:rFonts w:hint="eastAsia" w:ascii="宋体" w:hAnsi="宋体" w:eastAsia="宋体" w:cs="宋体"/>
          <w:color w:val="auto"/>
          <w:sz w:val="21"/>
          <w:szCs w:val="21"/>
          <w:highlight w:val="none"/>
        </w:rPr>
      </w:pPr>
      <w:bookmarkStart w:id="30" w:name="_Toc317668987"/>
      <w:bookmarkStart w:id="31" w:name="_Toc192386392"/>
      <w:r>
        <w:rPr>
          <w:rFonts w:hint="eastAsia" w:ascii="宋体" w:hAnsi="宋体" w:eastAsia="宋体" w:cs="宋体"/>
          <w:color w:val="auto"/>
          <w:sz w:val="21"/>
          <w:szCs w:val="21"/>
          <w:highlight w:val="none"/>
        </w:rPr>
        <w:t>1.5 费用承担</w:t>
      </w:r>
      <w:bookmarkEnd w:id="30"/>
      <w:bookmarkEnd w:id="31"/>
    </w:p>
    <w:p w14:paraId="39FBA43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供应商准备和参加投标活动发生的费用自理。</w:t>
      </w:r>
    </w:p>
    <w:p w14:paraId="1F2EABF2">
      <w:pPr>
        <w:pStyle w:val="6"/>
        <w:spacing w:before="0" w:after="0" w:line="440" w:lineRule="exact"/>
        <w:ind w:firstLine="422" w:firstLineChars="200"/>
        <w:rPr>
          <w:rFonts w:hint="eastAsia" w:ascii="宋体" w:hAnsi="宋体" w:eastAsia="宋体" w:cs="宋体"/>
          <w:color w:val="auto"/>
          <w:sz w:val="21"/>
          <w:szCs w:val="21"/>
          <w:highlight w:val="none"/>
        </w:rPr>
      </w:pPr>
      <w:bookmarkStart w:id="32" w:name="_Toc192386393"/>
      <w:bookmarkStart w:id="33" w:name="_Toc317668988"/>
      <w:r>
        <w:rPr>
          <w:rFonts w:hint="eastAsia" w:ascii="宋体" w:hAnsi="宋体" w:eastAsia="宋体" w:cs="宋体"/>
          <w:color w:val="auto"/>
          <w:sz w:val="21"/>
          <w:szCs w:val="21"/>
          <w:highlight w:val="none"/>
        </w:rPr>
        <w:t>1.6 保密</w:t>
      </w:r>
      <w:bookmarkEnd w:id="32"/>
      <w:bookmarkEnd w:id="33"/>
    </w:p>
    <w:p w14:paraId="720A634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参与招标投标活动的各方应对招标文件和投标文件中的商业和技术等秘密保密，违者应对由此造成的后果承担法律责任。</w:t>
      </w:r>
    </w:p>
    <w:p w14:paraId="0A70B7FD">
      <w:pPr>
        <w:pStyle w:val="6"/>
        <w:spacing w:before="0" w:after="0" w:line="440" w:lineRule="exact"/>
        <w:ind w:firstLine="422" w:firstLineChars="200"/>
        <w:rPr>
          <w:rFonts w:hint="eastAsia" w:ascii="宋体" w:hAnsi="宋体" w:eastAsia="宋体" w:cs="宋体"/>
          <w:color w:val="auto"/>
          <w:sz w:val="21"/>
          <w:szCs w:val="21"/>
          <w:highlight w:val="none"/>
        </w:rPr>
      </w:pPr>
      <w:bookmarkStart w:id="34" w:name="_Toc192386394"/>
      <w:bookmarkStart w:id="35" w:name="_Toc317668989"/>
      <w:r>
        <w:rPr>
          <w:rFonts w:hint="eastAsia" w:ascii="宋体" w:hAnsi="宋体" w:eastAsia="宋体" w:cs="宋体"/>
          <w:color w:val="auto"/>
          <w:sz w:val="21"/>
          <w:szCs w:val="21"/>
          <w:highlight w:val="none"/>
        </w:rPr>
        <w:t>1.7 语言文字</w:t>
      </w:r>
      <w:bookmarkEnd w:id="34"/>
      <w:bookmarkEnd w:id="35"/>
    </w:p>
    <w:p w14:paraId="10FD203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3A1785A7">
      <w:pPr>
        <w:pStyle w:val="6"/>
        <w:spacing w:before="0" w:after="0" w:line="440" w:lineRule="exact"/>
        <w:ind w:firstLine="422" w:firstLineChars="200"/>
        <w:rPr>
          <w:rFonts w:hint="eastAsia" w:ascii="宋体" w:hAnsi="宋体" w:eastAsia="宋体" w:cs="宋体"/>
          <w:color w:val="auto"/>
          <w:sz w:val="21"/>
          <w:szCs w:val="21"/>
          <w:highlight w:val="none"/>
        </w:rPr>
      </w:pPr>
      <w:bookmarkStart w:id="36" w:name="_Toc192386395"/>
      <w:bookmarkStart w:id="37" w:name="_Toc317668990"/>
      <w:r>
        <w:rPr>
          <w:rFonts w:hint="eastAsia" w:ascii="宋体" w:hAnsi="宋体" w:eastAsia="宋体" w:cs="宋体"/>
          <w:color w:val="auto"/>
          <w:sz w:val="21"/>
          <w:szCs w:val="21"/>
          <w:highlight w:val="none"/>
        </w:rPr>
        <w:t>1.8 计量单位</w:t>
      </w:r>
      <w:bookmarkEnd w:id="36"/>
      <w:bookmarkEnd w:id="37"/>
    </w:p>
    <w:p w14:paraId="26409D4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1B8B5A7C">
      <w:pPr>
        <w:pStyle w:val="6"/>
        <w:spacing w:before="0" w:after="0" w:line="440" w:lineRule="exact"/>
        <w:ind w:firstLine="422" w:firstLineChars="200"/>
        <w:rPr>
          <w:rFonts w:hint="eastAsia" w:ascii="宋体" w:hAnsi="宋体" w:eastAsia="宋体" w:cs="宋体"/>
          <w:color w:val="auto"/>
          <w:sz w:val="21"/>
          <w:szCs w:val="21"/>
          <w:highlight w:val="none"/>
        </w:rPr>
      </w:pPr>
      <w:bookmarkStart w:id="38" w:name="_Toc317668991"/>
      <w:bookmarkStart w:id="39" w:name="_Toc192386396"/>
      <w:r>
        <w:rPr>
          <w:rFonts w:hint="eastAsia" w:ascii="宋体" w:hAnsi="宋体" w:eastAsia="宋体" w:cs="宋体"/>
          <w:color w:val="auto"/>
          <w:sz w:val="21"/>
          <w:szCs w:val="21"/>
          <w:highlight w:val="none"/>
        </w:rPr>
        <w:t>1.9 踏勘现场</w:t>
      </w:r>
      <w:bookmarkEnd w:id="38"/>
      <w:bookmarkEnd w:id="39"/>
    </w:p>
    <w:p w14:paraId="10E26CC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采购人不组织踏勘。</w:t>
      </w:r>
    </w:p>
    <w:p w14:paraId="39E419CC">
      <w:pPr>
        <w:pStyle w:val="6"/>
        <w:spacing w:before="0" w:after="0" w:line="440" w:lineRule="exact"/>
        <w:ind w:firstLine="422" w:firstLineChars="200"/>
        <w:rPr>
          <w:rFonts w:hint="eastAsia" w:ascii="宋体" w:hAnsi="宋体" w:eastAsia="宋体" w:cs="宋体"/>
          <w:color w:val="auto"/>
          <w:sz w:val="21"/>
          <w:szCs w:val="21"/>
          <w:highlight w:val="none"/>
        </w:rPr>
      </w:pPr>
      <w:bookmarkStart w:id="40" w:name="_Toc317668992"/>
      <w:bookmarkStart w:id="41" w:name="_Toc192386398"/>
      <w:r>
        <w:rPr>
          <w:rFonts w:hint="eastAsia" w:ascii="宋体" w:hAnsi="宋体" w:eastAsia="宋体" w:cs="宋体"/>
          <w:color w:val="auto"/>
          <w:sz w:val="21"/>
          <w:szCs w:val="21"/>
          <w:highlight w:val="none"/>
        </w:rPr>
        <w:t>1.10 投标预备会</w:t>
      </w:r>
      <w:bookmarkEnd w:id="40"/>
    </w:p>
    <w:p w14:paraId="15365D0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采购人不集中召开投标预备会。</w:t>
      </w:r>
    </w:p>
    <w:p w14:paraId="784F6AE9">
      <w:pPr>
        <w:pStyle w:val="6"/>
        <w:spacing w:before="0" w:after="0" w:line="440" w:lineRule="exact"/>
        <w:ind w:firstLine="422" w:firstLineChars="200"/>
        <w:rPr>
          <w:rFonts w:hint="eastAsia" w:ascii="宋体" w:hAnsi="宋体" w:eastAsia="宋体" w:cs="宋体"/>
          <w:color w:val="auto"/>
          <w:sz w:val="21"/>
          <w:szCs w:val="21"/>
          <w:highlight w:val="none"/>
        </w:rPr>
      </w:pPr>
      <w:bookmarkStart w:id="42" w:name="_Toc317668993"/>
      <w:r>
        <w:rPr>
          <w:rFonts w:hint="eastAsia" w:ascii="宋体" w:hAnsi="宋体" w:eastAsia="宋体" w:cs="宋体"/>
          <w:color w:val="auto"/>
          <w:sz w:val="21"/>
          <w:szCs w:val="21"/>
          <w:highlight w:val="none"/>
        </w:rPr>
        <w:t>1.11 分包</w:t>
      </w:r>
      <w:bookmarkEnd w:id="41"/>
      <w:bookmarkEnd w:id="42"/>
    </w:p>
    <w:p w14:paraId="03C7B52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不允许分包。</w:t>
      </w:r>
    </w:p>
    <w:p w14:paraId="7B79C7AA">
      <w:pPr>
        <w:pStyle w:val="6"/>
        <w:spacing w:before="0" w:after="0" w:line="440" w:lineRule="exact"/>
        <w:ind w:firstLine="422" w:firstLineChars="200"/>
        <w:rPr>
          <w:rFonts w:hint="eastAsia" w:ascii="宋体" w:hAnsi="宋体" w:eastAsia="宋体" w:cs="宋体"/>
          <w:color w:val="auto"/>
          <w:sz w:val="21"/>
          <w:szCs w:val="21"/>
          <w:highlight w:val="none"/>
        </w:rPr>
      </w:pPr>
      <w:bookmarkStart w:id="43" w:name="_Toc317668994"/>
      <w:bookmarkStart w:id="44" w:name="_Toc192386399"/>
      <w:r>
        <w:rPr>
          <w:rFonts w:hint="eastAsia" w:ascii="宋体" w:hAnsi="宋体" w:eastAsia="宋体" w:cs="宋体"/>
          <w:color w:val="auto"/>
          <w:sz w:val="21"/>
          <w:szCs w:val="21"/>
          <w:highlight w:val="none"/>
        </w:rPr>
        <w:t>1.12 偏离</w:t>
      </w:r>
      <w:bookmarkEnd w:id="43"/>
      <w:bookmarkEnd w:id="44"/>
    </w:p>
    <w:p w14:paraId="12ED905F">
      <w:pPr>
        <w:pStyle w:val="4"/>
        <w:spacing w:before="0" w:after="0" w:line="440" w:lineRule="exact"/>
        <w:ind w:firstLine="420" w:firstLineChars="200"/>
        <w:rPr>
          <w:rFonts w:hint="eastAsia" w:ascii="宋体" w:hAnsi="宋体" w:eastAsia="宋体" w:cs="宋体"/>
          <w:color w:val="auto"/>
          <w:sz w:val="21"/>
          <w:szCs w:val="21"/>
          <w:highlight w:val="none"/>
          <w:lang w:eastAsia="zh-CN"/>
        </w:rPr>
      </w:pPr>
      <w:bookmarkStart w:id="45" w:name="_Toc192386400"/>
      <w:bookmarkStart w:id="46" w:name="_Toc12446"/>
      <w:bookmarkStart w:id="47" w:name="_Toc317668995"/>
      <w:r>
        <w:rPr>
          <w:rFonts w:hint="eastAsia" w:ascii="宋体" w:hAnsi="宋体" w:eastAsia="宋体" w:cs="宋体"/>
          <w:color w:val="auto"/>
          <w:sz w:val="21"/>
          <w:szCs w:val="21"/>
          <w:highlight w:val="none"/>
          <w:lang w:eastAsia="zh-CN"/>
        </w:rPr>
        <w:t>实质性条款不允许负偏离</w:t>
      </w:r>
    </w:p>
    <w:p w14:paraId="26428364">
      <w:pPr>
        <w:pStyle w:val="4"/>
        <w:spacing w:before="0" w:after="0"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招标文件</w:t>
      </w:r>
      <w:bookmarkEnd w:id="45"/>
      <w:bookmarkEnd w:id="46"/>
      <w:bookmarkEnd w:id="47"/>
    </w:p>
    <w:p w14:paraId="782445EE">
      <w:pPr>
        <w:pStyle w:val="6"/>
        <w:spacing w:before="0" w:after="0" w:line="440" w:lineRule="exact"/>
        <w:ind w:firstLine="422" w:firstLineChars="200"/>
        <w:rPr>
          <w:rFonts w:hint="eastAsia" w:ascii="宋体" w:hAnsi="宋体" w:eastAsia="宋体" w:cs="宋体"/>
          <w:color w:val="auto"/>
          <w:sz w:val="21"/>
          <w:szCs w:val="21"/>
          <w:highlight w:val="none"/>
        </w:rPr>
      </w:pPr>
      <w:bookmarkStart w:id="48" w:name="_Toc192386401"/>
      <w:bookmarkStart w:id="49" w:name="_Toc317668996"/>
      <w:r>
        <w:rPr>
          <w:rFonts w:hint="eastAsia" w:ascii="宋体" w:hAnsi="宋体" w:eastAsia="宋体" w:cs="宋体"/>
          <w:color w:val="auto"/>
          <w:sz w:val="21"/>
          <w:szCs w:val="21"/>
          <w:highlight w:val="none"/>
        </w:rPr>
        <w:t>2.1 招标文件的组成</w:t>
      </w:r>
      <w:bookmarkEnd w:id="48"/>
      <w:bookmarkEnd w:id="49"/>
    </w:p>
    <w:p w14:paraId="38178373">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14:paraId="62A486BD">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14:paraId="68498714">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14:paraId="120F94CF">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7C0A14FE">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2E7FB6CA">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（5）技术标准及要求； </w:t>
      </w:r>
    </w:p>
    <w:p w14:paraId="7D0308BC">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（6）投标文件格式。 </w:t>
      </w:r>
    </w:p>
    <w:p w14:paraId="1782CB0C">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款、2.2 款和2.3 款对招标文件所作的澄清、修改，构成招标文件的组成部分。</w:t>
      </w:r>
    </w:p>
    <w:p w14:paraId="6C99EADE">
      <w:pPr>
        <w:pStyle w:val="6"/>
        <w:spacing w:before="0" w:after="0" w:line="440" w:lineRule="exact"/>
        <w:ind w:firstLine="422" w:firstLineChars="200"/>
        <w:rPr>
          <w:rFonts w:hint="eastAsia" w:ascii="宋体" w:hAnsi="宋体" w:eastAsia="宋体" w:cs="宋体"/>
          <w:color w:val="auto"/>
          <w:sz w:val="21"/>
          <w:szCs w:val="21"/>
          <w:highlight w:val="none"/>
        </w:rPr>
      </w:pPr>
      <w:bookmarkStart w:id="50" w:name="_Toc192386402"/>
      <w:bookmarkStart w:id="51" w:name="_Toc317668997"/>
      <w:r>
        <w:rPr>
          <w:rFonts w:hint="eastAsia" w:ascii="宋体" w:hAnsi="宋体" w:eastAsia="宋体" w:cs="宋体"/>
          <w:color w:val="auto"/>
          <w:sz w:val="21"/>
          <w:szCs w:val="21"/>
          <w:highlight w:val="none"/>
        </w:rPr>
        <w:t>2.2 招标文件的澄清</w:t>
      </w:r>
      <w:bookmarkEnd w:id="50"/>
      <w:bookmarkEnd w:id="51"/>
    </w:p>
    <w:p w14:paraId="237F441F">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供应商应仔细阅读和检查招标文件的全部内容。如发现缺页或附件不全，应及时向采购人提出，以便补齐。如有疑问，应在供应商须知前附表规定的时间前以数据电文形式通过</w:t>
      </w:r>
      <w:r>
        <w:rPr>
          <w:rFonts w:hint="eastAsia" w:ascii="宋体" w:hAnsi="宋体" w:cs="宋体"/>
          <w:color w:val="auto"/>
          <w:sz w:val="21"/>
          <w:szCs w:val="21"/>
          <w:highlight w:val="none"/>
          <w:lang w:val="en-US" w:eastAsia="zh-CN"/>
        </w:rPr>
        <w:t>登封</w:t>
      </w:r>
      <w:r>
        <w:rPr>
          <w:rFonts w:hint="eastAsia" w:ascii="宋体" w:hAnsi="宋体" w:eastAsia="宋体" w:cs="宋体"/>
          <w:color w:val="auto"/>
          <w:kern w:val="0"/>
          <w:sz w:val="21"/>
          <w:szCs w:val="21"/>
          <w:highlight w:val="none"/>
        </w:rPr>
        <w:t>市公共资源交易中心http://dfggzyjy.dengfeng.gov.cn电子交易平台</w:t>
      </w:r>
      <w:r>
        <w:rPr>
          <w:rFonts w:hint="eastAsia" w:ascii="宋体" w:hAnsi="宋体" w:eastAsia="宋体" w:cs="宋体"/>
          <w:color w:val="auto"/>
          <w:sz w:val="21"/>
          <w:szCs w:val="21"/>
          <w:highlight w:val="none"/>
        </w:rPr>
        <w:t>提出，要求采购人对招标文件予以澄清。</w:t>
      </w:r>
    </w:p>
    <w:p w14:paraId="6016722A">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招标文件的澄清将在供应商须知前附表规定的时间以数据电文形式通过</w:t>
      </w:r>
      <w:r>
        <w:rPr>
          <w:rFonts w:hint="eastAsia" w:ascii="宋体" w:hAnsi="宋体" w:cs="宋体"/>
          <w:color w:val="auto"/>
          <w:sz w:val="21"/>
          <w:szCs w:val="21"/>
          <w:highlight w:val="none"/>
          <w:lang w:val="en-US" w:eastAsia="zh-CN"/>
        </w:rPr>
        <w:t>登封</w:t>
      </w:r>
      <w:r>
        <w:rPr>
          <w:rFonts w:hint="eastAsia" w:ascii="宋体" w:hAnsi="宋体" w:eastAsia="宋体" w:cs="宋体"/>
          <w:color w:val="auto"/>
          <w:kern w:val="0"/>
          <w:sz w:val="21"/>
          <w:szCs w:val="21"/>
          <w:highlight w:val="none"/>
        </w:rPr>
        <w:t>市公共资源交易中心（</w:t>
      </w:r>
      <w:r>
        <w:rPr>
          <w:rFonts w:hint="eastAsia" w:ascii="宋体" w:hAnsi="宋体" w:eastAsia="宋体" w:cs="宋体"/>
          <w:color w:val="auto"/>
          <w:sz w:val="21"/>
          <w:szCs w:val="21"/>
          <w:highlight w:val="none"/>
        </w:rPr>
        <w:t>http://dfggzyjy.dengfeng.gov.cn</w:t>
      </w:r>
      <w:r>
        <w:rPr>
          <w:rFonts w:hint="eastAsia" w:ascii="宋体" w:hAnsi="宋体" w:eastAsia="宋体" w:cs="宋体"/>
          <w:color w:val="auto"/>
          <w:kern w:val="0"/>
          <w:sz w:val="21"/>
          <w:szCs w:val="21"/>
          <w:highlight w:val="none"/>
        </w:rPr>
        <w:t>）电子交易平台发布</w:t>
      </w:r>
      <w:r>
        <w:rPr>
          <w:rFonts w:hint="eastAsia" w:ascii="宋体" w:hAnsi="宋体" w:eastAsia="宋体" w:cs="宋体"/>
          <w:color w:val="auto"/>
          <w:sz w:val="21"/>
          <w:szCs w:val="21"/>
          <w:highlight w:val="none"/>
        </w:rPr>
        <w:t>，但不指明澄清问题的来源。如果澄清发出的时间距投标截止时间不足以使供应商在编制投标文件时把澄清内容考虑进去，采购人可以酌情延长投标截止时间，并将此变更书面通知所有招标文件收受人。投标截止时间：见供应商须知前附表。</w:t>
      </w:r>
    </w:p>
    <w:p w14:paraId="53A3D395">
      <w:pPr>
        <w:pStyle w:val="6"/>
        <w:spacing w:before="0" w:after="0" w:line="440" w:lineRule="exact"/>
        <w:ind w:firstLine="422" w:firstLineChars="200"/>
        <w:rPr>
          <w:rFonts w:hint="eastAsia" w:ascii="宋体" w:hAnsi="宋体" w:eastAsia="宋体" w:cs="宋体"/>
          <w:color w:val="auto"/>
          <w:sz w:val="21"/>
          <w:szCs w:val="21"/>
          <w:highlight w:val="none"/>
        </w:rPr>
      </w:pPr>
      <w:bookmarkStart w:id="52" w:name="_Toc317668998"/>
      <w:bookmarkStart w:id="53" w:name="_Toc192386403"/>
      <w:r>
        <w:rPr>
          <w:rFonts w:hint="eastAsia" w:ascii="宋体" w:hAnsi="宋体" w:eastAsia="宋体" w:cs="宋体"/>
          <w:color w:val="auto"/>
          <w:sz w:val="21"/>
          <w:szCs w:val="21"/>
          <w:highlight w:val="none"/>
        </w:rPr>
        <w:t>2.3 招标文件的修改</w:t>
      </w:r>
      <w:bookmarkEnd w:id="52"/>
      <w:bookmarkEnd w:id="53"/>
    </w:p>
    <w:p w14:paraId="7B665CC9">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在投标截止时间1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天前，采购人可以修改招标文件，并以数据电文形式通过</w:t>
      </w:r>
      <w:r>
        <w:rPr>
          <w:rFonts w:hint="eastAsia" w:ascii="宋体" w:hAnsi="宋体" w:cs="宋体"/>
          <w:color w:val="auto"/>
          <w:sz w:val="21"/>
          <w:szCs w:val="21"/>
          <w:highlight w:val="none"/>
          <w:lang w:val="en-US" w:eastAsia="zh-CN"/>
        </w:rPr>
        <w:t>登封</w:t>
      </w:r>
      <w:r>
        <w:rPr>
          <w:rFonts w:hint="eastAsia" w:ascii="宋体" w:hAnsi="宋体" w:eastAsia="宋体" w:cs="宋体"/>
          <w:color w:val="auto"/>
          <w:kern w:val="0"/>
          <w:sz w:val="21"/>
          <w:szCs w:val="21"/>
          <w:highlight w:val="none"/>
        </w:rPr>
        <w:t>市公共资源交易中心（</w:t>
      </w:r>
      <w:r>
        <w:rPr>
          <w:rFonts w:hint="eastAsia" w:ascii="宋体" w:hAnsi="宋体" w:eastAsia="宋体" w:cs="宋体"/>
          <w:color w:val="auto"/>
          <w:sz w:val="21"/>
          <w:szCs w:val="21"/>
          <w:highlight w:val="none"/>
        </w:rPr>
        <w:t>http://dfggzyjy.dengfeng.gov.cn</w:t>
      </w:r>
      <w:r>
        <w:rPr>
          <w:rFonts w:hint="eastAsia" w:ascii="宋体" w:hAnsi="宋体" w:eastAsia="宋体" w:cs="宋体"/>
          <w:color w:val="auto"/>
          <w:kern w:val="0"/>
          <w:sz w:val="21"/>
          <w:szCs w:val="21"/>
          <w:highlight w:val="none"/>
        </w:rPr>
        <w:t>）电子交易平台发布，</w:t>
      </w:r>
      <w:r>
        <w:rPr>
          <w:rFonts w:hint="eastAsia" w:ascii="宋体" w:hAnsi="宋体" w:eastAsia="宋体" w:cs="宋体"/>
          <w:color w:val="auto"/>
          <w:sz w:val="21"/>
          <w:szCs w:val="21"/>
          <w:highlight w:val="none"/>
        </w:rPr>
        <w:t>供应商可登陆电子交易平台自行下载。</w:t>
      </w:r>
    </w:p>
    <w:p w14:paraId="6E229E84">
      <w:pPr>
        <w:pStyle w:val="6"/>
        <w:spacing w:before="0" w:after="0"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2.4招标控制价</w:t>
      </w:r>
    </w:p>
    <w:p w14:paraId="534595A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见供应商须知前附表，供应商报价不得高于招标控制价，否则视为无效标。</w:t>
      </w:r>
    </w:p>
    <w:p w14:paraId="7B7DA016">
      <w:pPr>
        <w:pStyle w:val="4"/>
        <w:spacing w:before="0" w:after="0" w:line="440" w:lineRule="exact"/>
        <w:ind w:firstLine="422" w:firstLineChars="200"/>
        <w:rPr>
          <w:rFonts w:hint="eastAsia" w:ascii="宋体" w:hAnsi="宋体" w:eastAsia="宋体" w:cs="宋体"/>
          <w:b/>
          <w:color w:val="auto"/>
          <w:sz w:val="21"/>
          <w:szCs w:val="21"/>
          <w:highlight w:val="none"/>
        </w:rPr>
      </w:pPr>
      <w:bookmarkStart w:id="54" w:name="_Toc18741"/>
      <w:bookmarkStart w:id="55" w:name="_Toc317668999"/>
      <w:bookmarkStart w:id="56" w:name="_Toc192386404"/>
      <w:r>
        <w:rPr>
          <w:rFonts w:hint="eastAsia" w:ascii="宋体" w:hAnsi="宋体" w:eastAsia="宋体" w:cs="宋体"/>
          <w:b/>
          <w:color w:val="auto"/>
          <w:sz w:val="21"/>
          <w:szCs w:val="21"/>
          <w:highlight w:val="none"/>
        </w:rPr>
        <w:t>3. 投标文件</w:t>
      </w:r>
      <w:bookmarkEnd w:id="54"/>
      <w:bookmarkEnd w:id="55"/>
      <w:bookmarkEnd w:id="56"/>
    </w:p>
    <w:p w14:paraId="2CCB486E">
      <w:pPr>
        <w:pStyle w:val="6"/>
        <w:spacing w:before="0" w:after="0" w:line="440" w:lineRule="exact"/>
        <w:ind w:firstLine="422" w:firstLineChars="200"/>
        <w:rPr>
          <w:rFonts w:hint="eastAsia" w:ascii="宋体" w:hAnsi="宋体" w:eastAsia="宋体" w:cs="宋体"/>
          <w:color w:val="auto"/>
          <w:sz w:val="21"/>
          <w:szCs w:val="21"/>
          <w:highlight w:val="none"/>
        </w:rPr>
      </w:pPr>
      <w:bookmarkStart w:id="57" w:name="_Toc192386405"/>
      <w:bookmarkStart w:id="58" w:name="_Toc317669000"/>
      <w:r>
        <w:rPr>
          <w:rFonts w:hint="eastAsia" w:ascii="宋体" w:hAnsi="宋体" w:eastAsia="宋体" w:cs="宋体"/>
          <w:color w:val="auto"/>
          <w:sz w:val="21"/>
          <w:szCs w:val="21"/>
          <w:highlight w:val="none"/>
        </w:rPr>
        <w:t>3.1 投标文件的组成</w:t>
      </w:r>
      <w:bookmarkEnd w:id="57"/>
      <w:bookmarkEnd w:id="58"/>
    </w:p>
    <w:p w14:paraId="15227886">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投标文件应包括下列内容：</w:t>
      </w:r>
      <w:bookmarkStart w:id="59" w:name="_Toc286238760"/>
      <w:bookmarkStart w:id="60" w:name="_Toc317669001"/>
      <w:bookmarkStart w:id="61" w:name="_Toc192386407"/>
    </w:p>
    <w:p w14:paraId="54A265CB">
      <w:pPr>
        <w:numPr>
          <w:ilvl w:val="0"/>
          <w:numId w:val="1"/>
        </w:num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投标函及投标函附表</w:t>
      </w:r>
    </w:p>
    <w:p w14:paraId="4828FA0F">
      <w:pPr>
        <w:numPr>
          <w:ilvl w:val="0"/>
          <w:numId w:val="1"/>
        </w:num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投标报价表</w:t>
      </w:r>
    </w:p>
    <w:p w14:paraId="3C490717">
      <w:pPr>
        <w:numPr>
          <w:ilvl w:val="0"/>
          <w:numId w:val="1"/>
        </w:num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w:t>
      </w:r>
    </w:p>
    <w:p w14:paraId="2CAE45DE">
      <w:pPr>
        <w:numPr>
          <w:ilvl w:val="0"/>
          <w:numId w:val="1"/>
        </w:num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w:t>
      </w:r>
    </w:p>
    <w:p w14:paraId="3DB54BCD">
      <w:pPr>
        <w:numPr>
          <w:ilvl w:val="0"/>
          <w:numId w:val="1"/>
        </w:num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供货</w:t>
      </w:r>
      <w:r>
        <w:rPr>
          <w:rFonts w:hint="eastAsia" w:ascii="宋体" w:hAnsi="宋体" w:cs="宋体"/>
          <w:color w:val="auto"/>
          <w:sz w:val="21"/>
          <w:szCs w:val="21"/>
          <w:highlight w:val="none"/>
          <w:lang w:eastAsia="zh-CN"/>
        </w:rPr>
        <w:t>（实施）</w:t>
      </w:r>
      <w:r>
        <w:rPr>
          <w:rFonts w:hint="eastAsia" w:ascii="宋体" w:hAnsi="宋体" w:eastAsia="宋体" w:cs="宋体"/>
          <w:color w:val="auto"/>
          <w:sz w:val="21"/>
          <w:szCs w:val="21"/>
          <w:highlight w:val="none"/>
        </w:rPr>
        <w:t>方案及售后服务计划</w:t>
      </w:r>
    </w:p>
    <w:p w14:paraId="3599279C">
      <w:pPr>
        <w:numPr>
          <w:ilvl w:val="0"/>
          <w:numId w:val="1"/>
        </w:numPr>
        <w:spacing w:line="440" w:lineRule="exact"/>
        <w:ind w:firstLine="420" w:firstLineChars="200"/>
        <w:rPr>
          <w:rFonts w:hint="eastAsia"/>
        </w:rPr>
      </w:pPr>
      <w:r>
        <w:rPr>
          <w:rFonts w:hint="eastAsia" w:ascii="宋体" w:hAnsi="宋体" w:eastAsia="宋体" w:cs="宋体"/>
          <w:color w:val="auto"/>
          <w:sz w:val="21"/>
          <w:szCs w:val="21"/>
          <w:highlight w:val="none"/>
        </w:rPr>
        <w:t>资格审查资料</w:t>
      </w:r>
    </w:p>
    <w:p w14:paraId="4E9227B6">
      <w:pPr>
        <w:numPr>
          <w:ilvl w:val="0"/>
          <w:numId w:val="1"/>
        </w:numPr>
        <w:spacing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售后服务及优惠</w:t>
      </w:r>
      <w:r>
        <w:rPr>
          <w:rFonts w:hint="eastAsia" w:ascii="宋体" w:hAnsi="宋体" w:eastAsia="宋体" w:cs="宋体"/>
          <w:color w:val="auto"/>
          <w:sz w:val="21"/>
          <w:szCs w:val="21"/>
          <w:highlight w:val="none"/>
        </w:rPr>
        <w:t>承诺</w:t>
      </w:r>
    </w:p>
    <w:p w14:paraId="75BE414E">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八</w:t>
      </w:r>
      <w:r>
        <w:rPr>
          <w:rFonts w:hint="eastAsia" w:ascii="宋体" w:hAnsi="宋体" w:eastAsia="宋体" w:cs="宋体"/>
          <w:color w:val="auto"/>
          <w:sz w:val="21"/>
          <w:szCs w:val="21"/>
          <w:highlight w:val="none"/>
        </w:rPr>
        <w:t>、供应商承诺函</w:t>
      </w:r>
    </w:p>
    <w:p w14:paraId="04447324">
      <w:pPr>
        <w:pStyle w:val="6"/>
        <w:spacing w:before="0"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九</w:t>
      </w:r>
      <w:r>
        <w:rPr>
          <w:rFonts w:hint="eastAsia" w:ascii="宋体" w:hAnsi="宋体" w:eastAsia="宋体" w:cs="宋体"/>
          <w:b w:val="0"/>
          <w:bCs w:val="0"/>
          <w:color w:val="auto"/>
          <w:sz w:val="21"/>
          <w:szCs w:val="21"/>
          <w:highlight w:val="none"/>
        </w:rPr>
        <w:t>、供应商认为必要提供的其它材料</w:t>
      </w:r>
    </w:p>
    <w:p w14:paraId="6E28A6F5">
      <w:pPr>
        <w:pStyle w:val="6"/>
        <w:spacing w:before="0"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十、供应商反商业贿赂承诺书</w:t>
      </w:r>
    </w:p>
    <w:p w14:paraId="2BDA46DD">
      <w:pPr>
        <w:pStyle w:val="6"/>
        <w:spacing w:before="0"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享受政府采购政策扶持的证明材料</w:t>
      </w:r>
    </w:p>
    <w:p w14:paraId="11AACEAC">
      <w:pPr>
        <w:pStyle w:val="6"/>
        <w:spacing w:before="0" w:after="0"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投标报价</w:t>
      </w:r>
      <w:bookmarkEnd w:id="59"/>
      <w:bookmarkEnd w:id="60"/>
    </w:p>
    <w:p w14:paraId="4D9AC50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3.2.1投标报价按本次招标要求和相关文件及市场情况，由供应商在合理范围内自主报价。</w:t>
      </w:r>
    </w:p>
    <w:p w14:paraId="50A7200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3.2.2投标总报价为供应商在投标文件中提出的各项支付金额的总和。</w:t>
      </w:r>
    </w:p>
    <w:p w14:paraId="4A411061">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3.2.3供应商的投标报价均包括完成该项目的成本、利润、税金、风险等所有伴随的其他费用。</w:t>
      </w:r>
    </w:p>
    <w:p w14:paraId="31737BD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3.2.4供应商对本项目只能有一个报价，采购人和代理机构不接受有任何选择报价的投标。</w:t>
      </w:r>
    </w:p>
    <w:p w14:paraId="3E2EC45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3.2.5供应商不得以任何理由在投标截止后对投标报价予以修改，报价在投标有效期内是固定的，不因任何原因而改变。任何包含价格调整要求和条件的投标，将被视为非实质性响应投标而予以拒绝。</w:t>
      </w:r>
    </w:p>
    <w:p w14:paraId="332E52E3">
      <w:pPr>
        <w:pStyle w:val="6"/>
        <w:spacing w:before="0" w:after="0" w:line="440" w:lineRule="exact"/>
        <w:ind w:firstLine="422" w:firstLineChars="200"/>
        <w:rPr>
          <w:rFonts w:hint="eastAsia" w:ascii="宋体" w:hAnsi="宋体" w:eastAsia="宋体" w:cs="宋体"/>
          <w:color w:val="auto"/>
          <w:sz w:val="21"/>
          <w:szCs w:val="21"/>
          <w:highlight w:val="none"/>
        </w:rPr>
      </w:pPr>
      <w:bookmarkStart w:id="62" w:name="_Toc317669002"/>
      <w:r>
        <w:rPr>
          <w:rFonts w:hint="eastAsia" w:ascii="宋体" w:hAnsi="宋体" w:eastAsia="宋体" w:cs="宋体"/>
          <w:color w:val="auto"/>
          <w:sz w:val="21"/>
          <w:szCs w:val="21"/>
          <w:highlight w:val="none"/>
        </w:rPr>
        <w:t>3.3 投标有效期</w:t>
      </w:r>
      <w:bookmarkEnd w:id="61"/>
      <w:bookmarkEnd w:id="62"/>
    </w:p>
    <w:p w14:paraId="2AE1769F">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在供应商须知前附表规定的投标有效期内，供应商不得要求撤销或修改其投标文件。</w:t>
      </w:r>
    </w:p>
    <w:p w14:paraId="020674D3">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出现特殊情况需要延长投标有效期的，采购人以数据电文形式通过电子交易平台形式通知所有供应商延长投标有效期，但不得要求或被允许修改或撤销其投标文件；供应商拒绝延长的，其投标失效。</w:t>
      </w:r>
    </w:p>
    <w:p w14:paraId="777D9A23">
      <w:pPr>
        <w:pStyle w:val="6"/>
        <w:spacing w:before="0" w:after="0" w:line="440" w:lineRule="exact"/>
        <w:ind w:firstLine="422" w:firstLineChars="200"/>
        <w:rPr>
          <w:rFonts w:hint="eastAsia" w:ascii="宋体" w:hAnsi="宋体" w:eastAsia="宋体" w:cs="宋体"/>
          <w:color w:val="auto"/>
          <w:sz w:val="21"/>
          <w:szCs w:val="21"/>
          <w:highlight w:val="none"/>
        </w:rPr>
      </w:pPr>
      <w:bookmarkStart w:id="63" w:name="_Toc192386408"/>
      <w:bookmarkStart w:id="64" w:name="_Toc317669003"/>
      <w:r>
        <w:rPr>
          <w:rFonts w:hint="eastAsia" w:ascii="宋体" w:hAnsi="宋体" w:eastAsia="宋体" w:cs="宋体"/>
          <w:color w:val="auto"/>
          <w:sz w:val="21"/>
          <w:szCs w:val="21"/>
          <w:highlight w:val="none"/>
        </w:rPr>
        <w:t>3.4 投标保证金</w:t>
      </w:r>
      <w:bookmarkEnd w:id="63"/>
      <w:bookmarkEnd w:id="64"/>
    </w:p>
    <w:p w14:paraId="341995A0">
      <w:pPr>
        <w:pStyle w:val="6"/>
        <w:snapToGrid w:val="0"/>
        <w:spacing w:before="0" w:after="0" w:line="440" w:lineRule="exact"/>
        <w:ind w:firstLine="420" w:firstLineChars="200"/>
        <w:rPr>
          <w:rFonts w:hint="eastAsia" w:ascii="宋体" w:hAnsi="宋体" w:eastAsia="宋体" w:cs="宋体"/>
          <w:b w:val="0"/>
          <w:bCs w:val="0"/>
          <w:color w:val="auto"/>
          <w:sz w:val="21"/>
          <w:szCs w:val="21"/>
          <w:highlight w:val="none"/>
        </w:rPr>
      </w:pPr>
      <w:bookmarkStart w:id="65" w:name="_Toc317669004"/>
      <w:r>
        <w:rPr>
          <w:rFonts w:hint="eastAsia" w:ascii="宋体" w:hAnsi="宋体" w:eastAsia="宋体" w:cs="宋体"/>
          <w:b w:val="0"/>
          <w:bCs w:val="0"/>
          <w:color w:val="auto"/>
          <w:sz w:val="21"/>
          <w:szCs w:val="21"/>
          <w:highlight w:val="none"/>
        </w:rPr>
        <w:t>不要求。</w:t>
      </w:r>
    </w:p>
    <w:p w14:paraId="3F970C82">
      <w:pPr>
        <w:pStyle w:val="6"/>
        <w:snapToGrid w:val="0"/>
        <w:spacing w:before="0" w:after="0"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资格审查资料</w:t>
      </w:r>
      <w:bookmarkEnd w:id="65"/>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sz w:val="21"/>
          <w:szCs w:val="21"/>
          <w:highlight w:val="none"/>
        </w:rPr>
        <w:t>详见招标文件第三章“评标办法须知前附表”</w:t>
      </w:r>
    </w:p>
    <w:p w14:paraId="6DEAEEB7">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66" w:name="_Toc192386410"/>
      <w:bookmarkStart w:id="67" w:name="_Toc317669005"/>
      <w:r>
        <w:rPr>
          <w:rFonts w:hint="eastAsia" w:ascii="宋体" w:hAnsi="宋体" w:eastAsia="宋体" w:cs="宋体"/>
          <w:color w:val="auto"/>
          <w:sz w:val="21"/>
          <w:szCs w:val="21"/>
          <w:highlight w:val="none"/>
        </w:rPr>
        <w:t>3.6 备选投标方案</w:t>
      </w:r>
      <w:bookmarkEnd w:id="66"/>
      <w:bookmarkEnd w:id="67"/>
    </w:p>
    <w:p w14:paraId="3245231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除供应商须知前附表另有规定外，供应商不得递交备选投标方案和选择性报价。</w:t>
      </w:r>
      <w:bookmarkStart w:id="68" w:name="_Toc192386411"/>
    </w:p>
    <w:p w14:paraId="6372A706">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69" w:name="_Toc317669006"/>
      <w:r>
        <w:rPr>
          <w:rFonts w:hint="eastAsia" w:ascii="宋体" w:hAnsi="宋体" w:eastAsia="宋体" w:cs="宋体"/>
          <w:color w:val="auto"/>
          <w:sz w:val="21"/>
          <w:szCs w:val="21"/>
          <w:highlight w:val="none"/>
        </w:rPr>
        <w:t>3.7 投标文件的编制</w:t>
      </w:r>
      <w:bookmarkEnd w:id="68"/>
      <w:bookmarkEnd w:id="69"/>
    </w:p>
    <w:p w14:paraId="0BD1E5A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 投标文件应按第六章“投标文件格式”进行编写，如有必要，可以增加附页，作为投标文件的组成部分。其中，投标函附录在满足招标文件实质性要求的基础上，可以提出比招标文件要求更有利于采购人的承诺。</w:t>
      </w:r>
    </w:p>
    <w:p w14:paraId="7B8E5A25">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投标文件应当对招标文件有关</w:t>
      </w:r>
      <w:r>
        <w:rPr>
          <w:rFonts w:hint="eastAsia" w:ascii="宋体" w:hAnsi="宋体" w:eastAsia="宋体" w:cs="宋体"/>
          <w:b/>
          <w:bCs/>
          <w:color w:val="auto"/>
          <w:sz w:val="21"/>
          <w:szCs w:val="21"/>
          <w:highlight w:val="none"/>
        </w:rPr>
        <w:t>合同履行期限限、投标有效期、质量要求、招标范围等实质性内容做出响应</w:t>
      </w:r>
      <w:r>
        <w:rPr>
          <w:rFonts w:hint="eastAsia" w:ascii="宋体" w:hAnsi="宋体" w:eastAsia="宋体" w:cs="宋体"/>
          <w:color w:val="auto"/>
          <w:sz w:val="21"/>
          <w:szCs w:val="21"/>
          <w:highlight w:val="none"/>
        </w:rPr>
        <w:t>。</w:t>
      </w:r>
    </w:p>
    <w:p w14:paraId="64974395">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投标文件应由供应商的法定代表人或其委托代理人签字和盖单位章。委托代理人签字的，投标文件应附法定代表人签署的授权委托书。</w:t>
      </w:r>
    </w:p>
    <w:p w14:paraId="755DC890">
      <w:pPr>
        <w:pStyle w:val="4"/>
        <w:spacing w:before="0" w:after="0" w:line="440" w:lineRule="exact"/>
        <w:ind w:firstLine="422" w:firstLineChars="200"/>
        <w:rPr>
          <w:rFonts w:hint="eastAsia" w:ascii="宋体" w:hAnsi="宋体" w:eastAsia="宋体" w:cs="宋体"/>
          <w:b/>
          <w:color w:val="auto"/>
          <w:sz w:val="21"/>
          <w:szCs w:val="21"/>
          <w:highlight w:val="none"/>
        </w:rPr>
      </w:pPr>
      <w:bookmarkStart w:id="70" w:name="_Toc15068"/>
      <w:bookmarkStart w:id="71" w:name="_Toc317669007"/>
      <w:bookmarkStart w:id="72" w:name="_Toc192386412"/>
      <w:r>
        <w:rPr>
          <w:rFonts w:hint="eastAsia" w:ascii="宋体" w:hAnsi="宋体" w:eastAsia="宋体" w:cs="宋体"/>
          <w:b/>
          <w:color w:val="auto"/>
          <w:sz w:val="21"/>
          <w:szCs w:val="21"/>
          <w:highlight w:val="none"/>
        </w:rPr>
        <w:t>4. 投标</w:t>
      </w:r>
      <w:bookmarkEnd w:id="70"/>
      <w:bookmarkEnd w:id="71"/>
      <w:bookmarkEnd w:id="72"/>
    </w:p>
    <w:p w14:paraId="6A167BD7">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73" w:name="_Toc192386413"/>
      <w:bookmarkStart w:id="74" w:name="_Toc317669008"/>
      <w:r>
        <w:rPr>
          <w:rFonts w:hint="eastAsia" w:ascii="宋体" w:hAnsi="宋体" w:eastAsia="宋体" w:cs="宋体"/>
          <w:color w:val="auto"/>
          <w:sz w:val="21"/>
          <w:szCs w:val="21"/>
          <w:highlight w:val="none"/>
        </w:rPr>
        <w:t>4.1 投标文件的密封和标记</w:t>
      </w:r>
      <w:bookmarkEnd w:id="73"/>
      <w:bookmarkEnd w:id="74"/>
    </w:p>
    <w:p w14:paraId="64C51374">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bookmarkStart w:id="75" w:name="_Toc317669009"/>
      <w:bookmarkStart w:id="76" w:name="_Toc192386414"/>
      <w:r>
        <w:rPr>
          <w:rFonts w:hint="eastAsia" w:ascii="宋体" w:hAnsi="宋体" w:eastAsia="宋体" w:cs="宋体"/>
          <w:color w:val="auto"/>
          <w:sz w:val="21"/>
          <w:szCs w:val="21"/>
          <w:highlight w:val="none"/>
        </w:rPr>
        <w:t>供应商必须在投标截止时间前使用</w:t>
      </w:r>
      <w:r>
        <w:rPr>
          <w:rFonts w:hint="eastAsia" w:ascii="宋体" w:hAnsi="宋体" w:cs="宋体"/>
          <w:color w:val="auto"/>
          <w:sz w:val="21"/>
          <w:szCs w:val="21"/>
          <w:highlight w:val="none"/>
          <w:lang w:val="en-US" w:eastAsia="zh-CN"/>
        </w:rPr>
        <w:t>登封</w:t>
      </w:r>
      <w:r>
        <w:rPr>
          <w:rFonts w:hint="eastAsia" w:ascii="宋体" w:hAnsi="宋体" w:eastAsia="宋体" w:cs="宋体"/>
          <w:color w:val="auto"/>
          <w:sz w:val="21"/>
          <w:szCs w:val="21"/>
          <w:highlight w:val="none"/>
        </w:rPr>
        <w:t>市公共资源电子交易服务平台会员系统上传电子投标文件一份。上传的投标文件应加密，具体操作方法详见</w:t>
      </w:r>
      <w:r>
        <w:rPr>
          <w:rFonts w:hint="eastAsia" w:ascii="宋体" w:hAnsi="宋体" w:cs="宋体"/>
          <w:color w:val="auto"/>
          <w:sz w:val="21"/>
          <w:szCs w:val="21"/>
          <w:highlight w:val="none"/>
          <w:lang w:eastAsia="zh-CN"/>
        </w:rPr>
        <w:t>登封市公共资源交易中心</w:t>
      </w:r>
      <w:r>
        <w:rPr>
          <w:rFonts w:hint="eastAsia" w:ascii="宋体" w:hAnsi="宋体" w:eastAsia="宋体" w:cs="宋体"/>
          <w:color w:val="auto"/>
          <w:sz w:val="21"/>
          <w:szCs w:val="21"/>
          <w:highlight w:val="none"/>
        </w:rPr>
        <w:t>网站。</w:t>
      </w:r>
    </w:p>
    <w:p w14:paraId="5196FF07">
      <w:pPr>
        <w:pStyle w:val="6"/>
        <w:snapToGrid w:val="0"/>
        <w:spacing w:before="0" w:after="0"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投标文件的递交</w:t>
      </w:r>
      <w:bookmarkEnd w:id="75"/>
      <w:bookmarkEnd w:id="76"/>
    </w:p>
    <w:p w14:paraId="272C7461">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 供应商应在供应商须知前附表规定的投标截止时间前递交投标文件。加密电子投标文件逾期上传，采购人不予受理。</w:t>
      </w:r>
    </w:p>
    <w:p w14:paraId="52950012">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供应商递交投标文件的地点：见供应商须知前附表。</w:t>
      </w:r>
    </w:p>
    <w:p w14:paraId="5FE419E3">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除供应商须知前附表另有规定外，供应商所递交的投标文件不予退还。</w:t>
      </w:r>
    </w:p>
    <w:p w14:paraId="56C9D465">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逾期送达的或者未送达指定地点的投标文件，采购人不予受理。</w:t>
      </w:r>
    </w:p>
    <w:p w14:paraId="6B0DCCF8">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77" w:name="_Toc192386415"/>
      <w:bookmarkStart w:id="78" w:name="_Toc317669010"/>
      <w:r>
        <w:rPr>
          <w:rFonts w:hint="eastAsia" w:ascii="宋体" w:hAnsi="宋体" w:eastAsia="宋体" w:cs="宋体"/>
          <w:color w:val="auto"/>
          <w:sz w:val="21"/>
          <w:szCs w:val="21"/>
          <w:highlight w:val="none"/>
        </w:rPr>
        <w:t>4.3 投标文件的修改与撤回</w:t>
      </w:r>
      <w:bookmarkEnd w:id="77"/>
      <w:bookmarkEnd w:id="78"/>
    </w:p>
    <w:p w14:paraId="1212D2DB">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在供应商须知前附表规定的投标截止时间前，供应商可以修改或撤回已递交的投标文件。</w:t>
      </w:r>
    </w:p>
    <w:p w14:paraId="2FB4983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修改的内容为投标文件的组成部分。</w:t>
      </w:r>
    </w:p>
    <w:p w14:paraId="1CA29FBE">
      <w:pPr>
        <w:pStyle w:val="4"/>
        <w:spacing w:before="0" w:after="0" w:line="440" w:lineRule="exact"/>
        <w:ind w:firstLine="422" w:firstLineChars="200"/>
        <w:rPr>
          <w:rFonts w:hint="eastAsia" w:ascii="宋体" w:hAnsi="宋体" w:eastAsia="宋体" w:cs="宋体"/>
          <w:b/>
          <w:bCs/>
          <w:color w:val="auto"/>
          <w:sz w:val="21"/>
          <w:szCs w:val="21"/>
          <w:highlight w:val="none"/>
        </w:rPr>
      </w:pPr>
      <w:bookmarkStart w:id="79" w:name="_Toc317669011"/>
      <w:bookmarkStart w:id="80" w:name="_Toc31565"/>
      <w:bookmarkStart w:id="81" w:name="_Toc192386416"/>
      <w:r>
        <w:rPr>
          <w:rFonts w:hint="eastAsia" w:ascii="宋体" w:hAnsi="宋体" w:eastAsia="宋体" w:cs="宋体"/>
          <w:b/>
          <w:bCs/>
          <w:color w:val="auto"/>
          <w:sz w:val="21"/>
          <w:szCs w:val="21"/>
          <w:highlight w:val="none"/>
        </w:rPr>
        <w:t>5. 开标</w:t>
      </w:r>
      <w:bookmarkEnd w:id="79"/>
      <w:bookmarkEnd w:id="80"/>
      <w:bookmarkEnd w:id="81"/>
    </w:p>
    <w:p w14:paraId="69B83920">
      <w:pPr>
        <w:pStyle w:val="6"/>
        <w:spacing w:before="0" w:after="0" w:line="440" w:lineRule="exact"/>
        <w:ind w:firstLine="422" w:firstLineChars="200"/>
        <w:rPr>
          <w:rFonts w:hint="eastAsia" w:ascii="宋体" w:hAnsi="宋体" w:eastAsia="宋体" w:cs="宋体"/>
          <w:color w:val="auto"/>
          <w:sz w:val="21"/>
          <w:szCs w:val="21"/>
          <w:highlight w:val="none"/>
        </w:rPr>
      </w:pPr>
      <w:bookmarkStart w:id="82" w:name="_Toc317669012"/>
      <w:bookmarkStart w:id="83" w:name="_Toc192386417"/>
      <w:r>
        <w:rPr>
          <w:rFonts w:hint="eastAsia" w:ascii="宋体" w:hAnsi="宋体" w:eastAsia="宋体" w:cs="宋体"/>
          <w:color w:val="auto"/>
          <w:sz w:val="21"/>
          <w:szCs w:val="21"/>
          <w:highlight w:val="none"/>
        </w:rPr>
        <w:t>5.1 开标时间和地点</w:t>
      </w:r>
      <w:bookmarkEnd w:id="82"/>
      <w:bookmarkEnd w:id="83"/>
    </w:p>
    <w:p w14:paraId="379CA753">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采购人在供应商须知前附表规定的投标截止时间（开标时间）和地点公开开标，并邀请所有供应商的法定代表人或其委托代理人准时参加。</w:t>
      </w:r>
    </w:p>
    <w:p w14:paraId="43994A98">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84" w:name="_Toc192386418"/>
      <w:bookmarkStart w:id="85" w:name="_Toc317669013"/>
      <w:r>
        <w:rPr>
          <w:rFonts w:hint="eastAsia" w:ascii="宋体" w:hAnsi="宋体" w:eastAsia="宋体" w:cs="宋体"/>
          <w:color w:val="auto"/>
          <w:sz w:val="21"/>
          <w:szCs w:val="21"/>
          <w:highlight w:val="none"/>
        </w:rPr>
        <w:t>5.2 开标程序</w:t>
      </w:r>
      <w:bookmarkEnd w:id="84"/>
      <w:bookmarkEnd w:id="85"/>
    </w:p>
    <w:p w14:paraId="0A92C122">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4BFCA37B">
      <w:pPr>
        <w:framePr w:hSpace="180" w:wrap="around" w:vAnchor="text" w:hAnchor="text" w:y="1"/>
        <w:shd w:val="clear" w:color="auto" w:fill="FFFFFF"/>
        <w:spacing w:line="440" w:lineRule="exact"/>
        <w:ind w:firstLine="420" w:firstLineChars="200"/>
        <w:rPr>
          <w:rFonts w:hint="eastAsia" w:ascii="宋体" w:hAnsi="宋体" w:eastAsia="宋体" w:cs="宋体"/>
          <w:color w:val="auto"/>
          <w:kern w:val="0"/>
          <w:sz w:val="21"/>
          <w:szCs w:val="21"/>
          <w:highlight w:val="none"/>
        </w:rPr>
      </w:pPr>
      <w:bookmarkStart w:id="86" w:name="_Toc192386419"/>
      <w:bookmarkStart w:id="87" w:name="_Toc317669014"/>
      <w:r>
        <w:rPr>
          <w:rFonts w:hint="eastAsia" w:ascii="宋体" w:hAnsi="宋体" w:eastAsia="宋体" w:cs="宋体"/>
          <w:color w:val="auto"/>
          <w:sz w:val="21"/>
          <w:szCs w:val="21"/>
          <w:highlight w:val="none"/>
        </w:rPr>
        <w:t>5.2.1、供应商在规定的投标截止时间前登陆</w:t>
      </w:r>
      <w:r>
        <w:rPr>
          <w:rFonts w:hint="eastAsia" w:ascii="宋体" w:hAnsi="宋体" w:cs="宋体"/>
          <w:color w:val="auto"/>
          <w:kern w:val="0"/>
          <w:sz w:val="21"/>
          <w:szCs w:val="21"/>
          <w:highlight w:val="none"/>
          <w:lang w:val="en-US" w:eastAsia="zh-CN"/>
        </w:rPr>
        <w:t>登封</w:t>
      </w:r>
      <w:r>
        <w:rPr>
          <w:rFonts w:hint="eastAsia" w:ascii="宋体" w:hAnsi="宋体" w:eastAsia="宋体" w:cs="宋体"/>
          <w:color w:val="auto"/>
          <w:kern w:val="0"/>
          <w:sz w:val="21"/>
          <w:szCs w:val="21"/>
          <w:highlight w:val="none"/>
        </w:rPr>
        <w:t>市公共资源交易中心门户网站远程开标大厅</w:t>
      </w:r>
      <w:r>
        <w:rPr>
          <w:rFonts w:hint="eastAsia" w:ascii="宋体" w:hAnsi="宋体" w:eastAsia="宋体" w:cs="宋体"/>
          <w:color w:val="auto"/>
          <w:kern w:val="0"/>
          <w:sz w:val="21"/>
          <w:szCs w:val="21"/>
          <w:highlight w:val="none"/>
          <w:lang w:val="en-US" w:eastAsia="zh-CN"/>
        </w:rPr>
        <w:t>（http://dfggzyjy.dengfeng.gov.cn/BidOpening/bidopeninghallaction/hall/login）</w:t>
      </w:r>
      <w:r>
        <w:rPr>
          <w:rFonts w:hint="eastAsia" w:ascii="宋体" w:hAnsi="宋体" w:eastAsia="宋体" w:cs="宋体"/>
          <w:color w:val="auto"/>
          <w:sz w:val="21"/>
          <w:szCs w:val="21"/>
          <w:highlight w:val="none"/>
        </w:rPr>
        <w:t>进行开标。</w:t>
      </w:r>
    </w:p>
    <w:p w14:paraId="580574F6">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5.2.3、本项目采用远程不见面电子开标。具体开标程序参照</w:t>
      </w:r>
      <w:r>
        <w:rPr>
          <w:rFonts w:hint="eastAsia" w:ascii="宋体" w:hAnsi="宋体" w:cs="宋体"/>
          <w:color w:val="auto"/>
          <w:sz w:val="21"/>
          <w:szCs w:val="21"/>
          <w:highlight w:val="none"/>
          <w:lang w:eastAsia="zh-CN"/>
        </w:rPr>
        <w:t>登封市公共资源交易中心</w:t>
      </w:r>
      <w:r>
        <w:rPr>
          <w:rFonts w:hint="eastAsia" w:ascii="宋体" w:hAnsi="宋体" w:eastAsia="宋体" w:cs="宋体"/>
          <w:color w:val="auto"/>
          <w:sz w:val="21"/>
          <w:szCs w:val="21"/>
          <w:highlight w:val="none"/>
        </w:rPr>
        <w:t>相关规定执行。供应商在投标截止时间前未上传电子投标文件的将视为放弃投标，因供应商原因造成投标文件未解密成功的，视为撤销其投标文件；解密的投标文件不足三家时不再开标。</w:t>
      </w:r>
    </w:p>
    <w:p w14:paraId="317C4660">
      <w:pPr>
        <w:pStyle w:val="4"/>
        <w:spacing w:before="0" w:after="0" w:line="440" w:lineRule="exact"/>
        <w:ind w:firstLine="422" w:firstLineChars="200"/>
        <w:rPr>
          <w:rFonts w:hint="eastAsia" w:ascii="宋体" w:hAnsi="宋体" w:eastAsia="宋体" w:cs="宋体"/>
          <w:b/>
          <w:color w:val="auto"/>
          <w:sz w:val="21"/>
          <w:szCs w:val="21"/>
          <w:highlight w:val="none"/>
        </w:rPr>
      </w:pPr>
      <w:bookmarkStart w:id="88" w:name="_Toc25273"/>
      <w:r>
        <w:rPr>
          <w:rFonts w:hint="eastAsia" w:ascii="宋体" w:hAnsi="宋体" w:eastAsia="宋体" w:cs="宋体"/>
          <w:b/>
          <w:color w:val="auto"/>
          <w:sz w:val="21"/>
          <w:szCs w:val="21"/>
          <w:highlight w:val="none"/>
        </w:rPr>
        <w:t>6. 评标</w:t>
      </w:r>
      <w:bookmarkEnd w:id="86"/>
      <w:bookmarkEnd w:id="87"/>
      <w:bookmarkEnd w:id="88"/>
    </w:p>
    <w:p w14:paraId="2E609C6D">
      <w:pPr>
        <w:pStyle w:val="6"/>
        <w:spacing w:before="0" w:after="0" w:line="440" w:lineRule="exact"/>
        <w:ind w:firstLine="422" w:firstLineChars="200"/>
        <w:rPr>
          <w:rFonts w:hint="eastAsia" w:ascii="宋体" w:hAnsi="宋体" w:eastAsia="宋体" w:cs="宋体"/>
          <w:color w:val="auto"/>
          <w:sz w:val="21"/>
          <w:szCs w:val="21"/>
          <w:highlight w:val="none"/>
        </w:rPr>
      </w:pPr>
      <w:bookmarkStart w:id="89" w:name="_Toc192386420"/>
      <w:bookmarkStart w:id="90" w:name="_Toc317669015"/>
      <w:r>
        <w:rPr>
          <w:rFonts w:hint="eastAsia" w:ascii="宋体" w:hAnsi="宋体" w:eastAsia="宋体" w:cs="宋体"/>
          <w:color w:val="auto"/>
          <w:sz w:val="21"/>
          <w:szCs w:val="21"/>
          <w:highlight w:val="none"/>
        </w:rPr>
        <w:t>6.1 评标委员会</w:t>
      </w:r>
      <w:bookmarkEnd w:id="89"/>
      <w:bookmarkEnd w:id="90"/>
    </w:p>
    <w:p w14:paraId="7DFC0B06">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评标由采购人依法组建的评标委员会负责。评标委员会由采购人代表以及有</w:t>
      </w:r>
      <w:r>
        <w:rPr>
          <w:rFonts w:hint="eastAsia" w:ascii="宋体" w:hAnsi="宋体" w:cs="宋体"/>
          <w:color w:val="auto"/>
          <w:sz w:val="21"/>
          <w:szCs w:val="21"/>
          <w:highlight w:val="none"/>
          <w:lang w:val="en-US" w:eastAsia="zh-CN"/>
        </w:rPr>
        <w:t>关</w:t>
      </w:r>
      <w:r>
        <w:rPr>
          <w:rFonts w:hint="eastAsia" w:ascii="宋体" w:hAnsi="宋体" w:eastAsia="宋体" w:cs="宋体"/>
          <w:color w:val="auto"/>
          <w:sz w:val="21"/>
          <w:szCs w:val="21"/>
          <w:highlight w:val="none"/>
        </w:rPr>
        <w:t>方面的专家组成。评标委员会成员人数以及技术、经济等方面专家的确定方式见供应商须知前附表。</w:t>
      </w:r>
    </w:p>
    <w:p w14:paraId="5D29A40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评标委员会成员有下列情形之一的，应当回避：</w:t>
      </w:r>
    </w:p>
    <w:p w14:paraId="306EC989">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（1）供应商或供应商的主要负责人的近亲属；</w:t>
      </w:r>
    </w:p>
    <w:p w14:paraId="2F99631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76A5261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（3）与供应商有经济利益关系，可能影响对投标公正评审的；</w:t>
      </w:r>
    </w:p>
    <w:p w14:paraId="7EACBDD8">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（4）曾因招标、评标以及其他与招标投标有关活动中从事违法行为而受过行政处罚或刑事处罚的。</w:t>
      </w:r>
    </w:p>
    <w:p w14:paraId="3D52712E">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91" w:name="_Toc192386421"/>
      <w:bookmarkStart w:id="92" w:name="_Toc317669016"/>
      <w:r>
        <w:rPr>
          <w:rFonts w:hint="eastAsia" w:ascii="宋体" w:hAnsi="宋体" w:eastAsia="宋体" w:cs="宋体"/>
          <w:color w:val="auto"/>
          <w:sz w:val="21"/>
          <w:szCs w:val="21"/>
          <w:highlight w:val="none"/>
        </w:rPr>
        <w:t>6.2 评标原则</w:t>
      </w:r>
      <w:bookmarkEnd w:id="91"/>
      <w:bookmarkEnd w:id="92"/>
    </w:p>
    <w:p w14:paraId="2CAA34E2">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w:t>
      </w:r>
    </w:p>
    <w:p w14:paraId="7DDD37BE">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93" w:name="_Toc317669017"/>
      <w:bookmarkStart w:id="94" w:name="_Toc192386422"/>
      <w:r>
        <w:rPr>
          <w:rFonts w:hint="eastAsia" w:ascii="宋体" w:hAnsi="宋体" w:eastAsia="宋体" w:cs="宋体"/>
          <w:color w:val="auto"/>
          <w:sz w:val="21"/>
          <w:szCs w:val="21"/>
          <w:highlight w:val="none"/>
        </w:rPr>
        <w:t>6.3 评标</w:t>
      </w:r>
      <w:bookmarkEnd w:id="93"/>
      <w:bookmarkEnd w:id="94"/>
    </w:p>
    <w:p w14:paraId="6BD670B9">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评标委员会按照第三章“评标办法”规定的方法、评审因素、标准和程序对投标文件进行评审。第三章“评标办法”没有规定的方法、评审因素和标准，不作为评标依据。</w:t>
      </w:r>
    </w:p>
    <w:p w14:paraId="54F5D54E">
      <w:pPr>
        <w:pStyle w:val="4"/>
        <w:spacing w:before="0" w:after="0" w:line="440" w:lineRule="exact"/>
        <w:ind w:firstLine="422" w:firstLineChars="200"/>
        <w:rPr>
          <w:rFonts w:hint="eastAsia" w:ascii="宋体" w:hAnsi="宋体" w:eastAsia="宋体" w:cs="宋体"/>
          <w:b/>
          <w:color w:val="auto"/>
          <w:sz w:val="21"/>
          <w:szCs w:val="21"/>
          <w:highlight w:val="none"/>
        </w:rPr>
      </w:pPr>
      <w:bookmarkStart w:id="95" w:name="_Toc192386423"/>
      <w:bookmarkStart w:id="96" w:name="_Toc317669018"/>
      <w:bookmarkStart w:id="97" w:name="_Toc14183"/>
      <w:r>
        <w:rPr>
          <w:rFonts w:hint="eastAsia" w:ascii="宋体" w:hAnsi="宋体" w:eastAsia="宋体" w:cs="宋体"/>
          <w:b/>
          <w:color w:val="auto"/>
          <w:sz w:val="21"/>
          <w:szCs w:val="21"/>
          <w:highlight w:val="none"/>
        </w:rPr>
        <w:t>7. 合同授予</w:t>
      </w:r>
      <w:bookmarkEnd w:id="95"/>
      <w:bookmarkEnd w:id="96"/>
      <w:bookmarkEnd w:id="97"/>
    </w:p>
    <w:p w14:paraId="6143FD4E">
      <w:pPr>
        <w:pStyle w:val="6"/>
        <w:spacing w:before="0" w:after="0" w:line="440" w:lineRule="exact"/>
        <w:ind w:firstLine="422" w:firstLineChars="200"/>
        <w:rPr>
          <w:rFonts w:hint="eastAsia" w:ascii="宋体" w:hAnsi="宋体" w:eastAsia="宋体" w:cs="宋体"/>
          <w:color w:val="auto"/>
          <w:sz w:val="21"/>
          <w:szCs w:val="21"/>
          <w:highlight w:val="none"/>
        </w:rPr>
      </w:pPr>
      <w:bookmarkStart w:id="98" w:name="_Toc192386424"/>
      <w:bookmarkStart w:id="99" w:name="_Toc317669019"/>
      <w:r>
        <w:rPr>
          <w:rFonts w:hint="eastAsia" w:ascii="宋体" w:hAnsi="宋体" w:eastAsia="宋体" w:cs="宋体"/>
          <w:color w:val="auto"/>
          <w:sz w:val="21"/>
          <w:szCs w:val="21"/>
          <w:highlight w:val="none"/>
        </w:rPr>
        <w:t>7.1 定标方式</w:t>
      </w:r>
      <w:bookmarkEnd w:id="98"/>
      <w:bookmarkEnd w:id="99"/>
    </w:p>
    <w:p w14:paraId="7E72B436">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除供应商须知前附表规定评标委员会直接确定中标人外，采购人依据评标委员会推荐的中标候选人确定中标人，评标委员会推荐中标候选人的人数见供应商须知前附表。</w:t>
      </w:r>
    </w:p>
    <w:p w14:paraId="68BF0531">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00" w:name="_Toc192386425"/>
      <w:bookmarkStart w:id="101" w:name="_Toc317669020"/>
      <w:r>
        <w:rPr>
          <w:rFonts w:hint="eastAsia" w:ascii="宋体" w:hAnsi="宋体" w:eastAsia="宋体" w:cs="宋体"/>
          <w:color w:val="auto"/>
          <w:sz w:val="21"/>
          <w:szCs w:val="21"/>
          <w:highlight w:val="none"/>
        </w:rPr>
        <w:t>7.2 中标通知</w:t>
      </w:r>
      <w:bookmarkEnd w:id="100"/>
      <w:bookmarkEnd w:id="101"/>
    </w:p>
    <w:p w14:paraId="47B39B8F">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在本章第3.3款规定的投标有效期内，采购人以书面形式向中标人发出中标通知书，同时将中标结果通知未中标的供应商。</w:t>
      </w:r>
    </w:p>
    <w:p w14:paraId="309CB87B">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02" w:name="_Toc192386426"/>
      <w:bookmarkStart w:id="103" w:name="_Toc317669021"/>
      <w:r>
        <w:rPr>
          <w:rFonts w:hint="eastAsia" w:ascii="宋体" w:hAnsi="宋体" w:eastAsia="宋体" w:cs="宋体"/>
          <w:color w:val="auto"/>
          <w:sz w:val="21"/>
          <w:szCs w:val="21"/>
          <w:highlight w:val="none"/>
        </w:rPr>
        <w:t>7.3 履约担保</w:t>
      </w:r>
      <w:bookmarkEnd w:id="102"/>
      <w:bookmarkEnd w:id="103"/>
    </w:p>
    <w:p w14:paraId="5FA6404C">
      <w:pPr>
        <w:tabs>
          <w:tab w:val="left" w:pos="900"/>
          <w:tab w:val="left" w:pos="1418"/>
        </w:tabs>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不要求。</w:t>
      </w:r>
    </w:p>
    <w:p w14:paraId="6549006B">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04" w:name="_Toc317669022"/>
      <w:bookmarkStart w:id="105" w:name="_Toc192386427"/>
      <w:r>
        <w:rPr>
          <w:rFonts w:hint="eastAsia" w:ascii="宋体" w:hAnsi="宋体" w:eastAsia="宋体" w:cs="宋体"/>
          <w:color w:val="auto"/>
          <w:sz w:val="21"/>
          <w:szCs w:val="21"/>
          <w:highlight w:val="none"/>
        </w:rPr>
        <w:t>7.4 签订合同</w:t>
      </w:r>
      <w:bookmarkEnd w:id="104"/>
      <w:bookmarkEnd w:id="105"/>
    </w:p>
    <w:p w14:paraId="5C1556F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和中标人应当自中标通知书发出之日起15天内，根据招标文件和中标人的投标文件订立书面合同。中标人无正当理由拒签合同的，采购人取消其中标资格；给采购人造成的损失的，中标人还应当对超过部分予以赔偿。</w:t>
      </w:r>
    </w:p>
    <w:p w14:paraId="0809A450">
      <w:pPr>
        <w:pStyle w:val="4"/>
        <w:spacing w:before="0" w:after="0" w:line="440" w:lineRule="exact"/>
        <w:ind w:firstLine="422" w:firstLineChars="200"/>
        <w:rPr>
          <w:rFonts w:hint="eastAsia" w:ascii="宋体" w:hAnsi="宋体" w:eastAsia="宋体" w:cs="宋体"/>
          <w:b/>
          <w:color w:val="auto"/>
          <w:sz w:val="21"/>
          <w:szCs w:val="21"/>
          <w:highlight w:val="none"/>
        </w:rPr>
      </w:pPr>
      <w:bookmarkStart w:id="106" w:name="_Toc18682"/>
      <w:bookmarkStart w:id="107" w:name="_Toc317669023"/>
      <w:bookmarkStart w:id="108" w:name="_Toc192386428"/>
      <w:r>
        <w:rPr>
          <w:rFonts w:hint="eastAsia" w:ascii="宋体" w:hAnsi="宋体" w:eastAsia="宋体" w:cs="宋体"/>
          <w:b/>
          <w:color w:val="auto"/>
          <w:sz w:val="21"/>
          <w:szCs w:val="21"/>
          <w:highlight w:val="none"/>
        </w:rPr>
        <w:t>8. 重新招标和不再招标</w:t>
      </w:r>
      <w:bookmarkEnd w:id="106"/>
      <w:bookmarkEnd w:id="107"/>
      <w:bookmarkEnd w:id="108"/>
    </w:p>
    <w:p w14:paraId="38BCD770">
      <w:pPr>
        <w:pStyle w:val="6"/>
        <w:spacing w:before="0" w:after="0" w:line="440" w:lineRule="exact"/>
        <w:ind w:firstLine="422" w:firstLineChars="200"/>
        <w:rPr>
          <w:rFonts w:hint="eastAsia" w:ascii="宋体" w:hAnsi="宋体" w:eastAsia="宋体" w:cs="宋体"/>
          <w:color w:val="auto"/>
          <w:sz w:val="21"/>
          <w:szCs w:val="21"/>
          <w:highlight w:val="none"/>
        </w:rPr>
      </w:pPr>
      <w:bookmarkStart w:id="109" w:name="_Toc192386429"/>
      <w:bookmarkStart w:id="110" w:name="_Toc317669024"/>
      <w:r>
        <w:rPr>
          <w:rFonts w:hint="eastAsia" w:ascii="宋体" w:hAnsi="宋体" w:eastAsia="宋体" w:cs="宋体"/>
          <w:color w:val="auto"/>
          <w:sz w:val="21"/>
          <w:szCs w:val="21"/>
          <w:highlight w:val="none"/>
        </w:rPr>
        <w:t>8.1 重新招标</w:t>
      </w:r>
      <w:bookmarkEnd w:id="109"/>
      <w:bookmarkEnd w:id="110"/>
    </w:p>
    <w:p w14:paraId="0CA045F0">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有下列情形之一的，采购人将重新招标：</w:t>
      </w:r>
    </w:p>
    <w:p w14:paraId="537C5183">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投标截止时间止，供应商少于3个的或者通过资格审查或符合性审查的供应商不足3家的；</w:t>
      </w:r>
    </w:p>
    <w:p w14:paraId="350B1CF6">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11" w:name="_Toc317669025"/>
      <w:bookmarkStart w:id="112" w:name="_Toc192386430"/>
      <w:r>
        <w:rPr>
          <w:rFonts w:hint="eastAsia" w:ascii="宋体" w:hAnsi="宋体" w:eastAsia="宋体" w:cs="宋体"/>
          <w:color w:val="auto"/>
          <w:sz w:val="21"/>
          <w:szCs w:val="21"/>
          <w:highlight w:val="none"/>
        </w:rPr>
        <w:t>8.2 不再招标</w:t>
      </w:r>
      <w:bookmarkEnd w:id="111"/>
      <w:bookmarkEnd w:id="112"/>
    </w:p>
    <w:p w14:paraId="79437767">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因重大变故，采购任务取消的。</w:t>
      </w:r>
    </w:p>
    <w:p w14:paraId="35980BA9">
      <w:pPr>
        <w:pStyle w:val="4"/>
        <w:spacing w:before="0" w:after="0" w:line="440" w:lineRule="exact"/>
        <w:ind w:firstLine="422" w:firstLineChars="200"/>
        <w:rPr>
          <w:rFonts w:hint="eastAsia" w:ascii="宋体" w:hAnsi="宋体" w:eastAsia="宋体" w:cs="宋体"/>
          <w:b/>
          <w:color w:val="auto"/>
          <w:sz w:val="21"/>
          <w:szCs w:val="21"/>
          <w:highlight w:val="none"/>
        </w:rPr>
      </w:pPr>
      <w:bookmarkStart w:id="113" w:name="_Toc317669026"/>
      <w:bookmarkStart w:id="114" w:name="_Toc192386431"/>
      <w:bookmarkStart w:id="115" w:name="_Toc5148"/>
      <w:r>
        <w:rPr>
          <w:rFonts w:hint="eastAsia" w:ascii="宋体" w:hAnsi="宋体" w:eastAsia="宋体" w:cs="宋体"/>
          <w:b/>
          <w:color w:val="auto"/>
          <w:sz w:val="21"/>
          <w:szCs w:val="21"/>
          <w:highlight w:val="none"/>
        </w:rPr>
        <w:t>9. 纪律和监督</w:t>
      </w:r>
      <w:bookmarkEnd w:id="113"/>
      <w:bookmarkEnd w:id="114"/>
      <w:bookmarkEnd w:id="115"/>
    </w:p>
    <w:p w14:paraId="147C178E">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16" w:name="_Toc192386432"/>
      <w:bookmarkStart w:id="117" w:name="_Toc317669027"/>
      <w:r>
        <w:rPr>
          <w:rFonts w:hint="eastAsia" w:ascii="宋体" w:hAnsi="宋体" w:eastAsia="宋体" w:cs="宋体"/>
          <w:color w:val="auto"/>
          <w:sz w:val="21"/>
          <w:szCs w:val="21"/>
          <w:highlight w:val="none"/>
        </w:rPr>
        <w:t>9.1 对采购人的纪律要求</w:t>
      </w:r>
      <w:bookmarkEnd w:id="116"/>
      <w:bookmarkEnd w:id="117"/>
    </w:p>
    <w:p w14:paraId="040F1F62">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采购人不得泄漏招标投标活动中应当保密的情况和资料，不得与供应商串通损害国家利益、社会公共利益或者他人合法权益。</w:t>
      </w:r>
    </w:p>
    <w:p w14:paraId="549B6D13">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18" w:name="_Toc192386433"/>
      <w:bookmarkStart w:id="119" w:name="_Toc317669028"/>
      <w:r>
        <w:rPr>
          <w:rFonts w:hint="eastAsia" w:ascii="宋体" w:hAnsi="宋体" w:eastAsia="宋体" w:cs="宋体"/>
          <w:color w:val="auto"/>
          <w:sz w:val="21"/>
          <w:szCs w:val="21"/>
          <w:highlight w:val="none"/>
        </w:rPr>
        <w:t>9.2 对供应商的纪律要求</w:t>
      </w:r>
      <w:bookmarkEnd w:id="118"/>
      <w:bookmarkEnd w:id="119"/>
    </w:p>
    <w:p w14:paraId="7EED77D9">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42C852BD">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20" w:name="_Toc317669029"/>
      <w:bookmarkStart w:id="121" w:name="_Toc192386434"/>
      <w:r>
        <w:rPr>
          <w:rFonts w:hint="eastAsia" w:ascii="宋体" w:hAnsi="宋体" w:eastAsia="宋体" w:cs="宋体"/>
          <w:color w:val="auto"/>
          <w:sz w:val="21"/>
          <w:szCs w:val="21"/>
          <w:highlight w:val="none"/>
        </w:rPr>
        <w:t>9.3 对评标委员会成员的纪律要求</w:t>
      </w:r>
      <w:bookmarkEnd w:id="120"/>
      <w:bookmarkEnd w:id="121"/>
    </w:p>
    <w:p w14:paraId="52B5EBAC">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D84BCB5">
      <w:pPr>
        <w:pStyle w:val="6"/>
        <w:snapToGrid w:val="0"/>
        <w:spacing w:before="0" w:after="0" w:line="440" w:lineRule="exact"/>
        <w:ind w:firstLine="422" w:firstLineChars="200"/>
        <w:rPr>
          <w:rFonts w:hint="eastAsia" w:ascii="宋体" w:hAnsi="宋体" w:eastAsia="宋体" w:cs="宋体"/>
          <w:color w:val="auto"/>
          <w:sz w:val="21"/>
          <w:szCs w:val="21"/>
          <w:highlight w:val="none"/>
        </w:rPr>
      </w:pPr>
      <w:bookmarkStart w:id="122" w:name="_Toc192386435"/>
      <w:bookmarkStart w:id="123" w:name="_Toc317669030"/>
      <w:r>
        <w:rPr>
          <w:rFonts w:hint="eastAsia" w:ascii="宋体" w:hAnsi="宋体" w:eastAsia="宋体" w:cs="宋体"/>
          <w:color w:val="auto"/>
          <w:sz w:val="21"/>
          <w:szCs w:val="21"/>
          <w:highlight w:val="none"/>
        </w:rPr>
        <w:t>9.4 对与评标活动有关的工作人员的纪律要求</w:t>
      </w:r>
      <w:bookmarkEnd w:id="122"/>
      <w:bookmarkEnd w:id="123"/>
    </w:p>
    <w:p w14:paraId="7AFAEE1F">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6342301">
      <w:pPr>
        <w:pStyle w:val="6"/>
        <w:spacing w:before="0" w:after="0" w:line="440" w:lineRule="exact"/>
        <w:ind w:firstLine="422" w:firstLineChars="200"/>
        <w:rPr>
          <w:rFonts w:hint="eastAsia" w:ascii="宋体" w:hAnsi="宋体" w:eastAsia="宋体" w:cs="宋体"/>
          <w:color w:val="auto"/>
          <w:sz w:val="21"/>
          <w:szCs w:val="21"/>
          <w:highlight w:val="none"/>
        </w:rPr>
      </w:pPr>
      <w:bookmarkStart w:id="124" w:name="_Toc192386436"/>
      <w:bookmarkStart w:id="125" w:name="_Toc317669031"/>
      <w:r>
        <w:rPr>
          <w:rFonts w:hint="eastAsia" w:ascii="宋体" w:hAnsi="宋体" w:eastAsia="宋体" w:cs="宋体"/>
          <w:color w:val="auto"/>
          <w:sz w:val="21"/>
          <w:szCs w:val="21"/>
          <w:highlight w:val="none"/>
        </w:rPr>
        <w:t>9.5 投诉</w:t>
      </w:r>
      <w:bookmarkEnd w:id="124"/>
      <w:bookmarkEnd w:id="125"/>
    </w:p>
    <w:p w14:paraId="315A32D6">
      <w:pPr>
        <w:tabs>
          <w:tab w:val="left" w:pos="900"/>
          <w:tab w:val="left" w:pos="1418"/>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供应商和其他利害关系人认为本次招标活动违反法律、法规和规章规定的，有权向有关行政监督部门投诉。</w:t>
      </w:r>
    </w:p>
    <w:p w14:paraId="6D02553A">
      <w:pPr>
        <w:pStyle w:val="4"/>
        <w:spacing w:before="0" w:after="0" w:line="440" w:lineRule="exact"/>
        <w:ind w:firstLine="422" w:firstLineChars="200"/>
        <w:rPr>
          <w:rFonts w:hint="eastAsia" w:ascii="宋体" w:hAnsi="宋体" w:eastAsia="宋体" w:cs="宋体"/>
          <w:b/>
          <w:color w:val="auto"/>
          <w:sz w:val="21"/>
          <w:szCs w:val="21"/>
          <w:highlight w:val="none"/>
        </w:rPr>
      </w:pPr>
      <w:bookmarkStart w:id="126" w:name="_Toc192386437"/>
      <w:bookmarkStart w:id="127" w:name="_Toc26386"/>
      <w:bookmarkStart w:id="128" w:name="_Toc317669032"/>
      <w:r>
        <w:rPr>
          <w:rFonts w:hint="eastAsia" w:ascii="宋体" w:hAnsi="宋体" w:eastAsia="宋体" w:cs="宋体"/>
          <w:b/>
          <w:color w:val="auto"/>
          <w:sz w:val="21"/>
          <w:szCs w:val="21"/>
          <w:highlight w:val="none"/>
        </w:rPr>
        <w:t>10. 需要补充的其他内容</w:t>
      </w:r>
      <w:bookmarkEnd w:id="126"/>
      <w:bookmarkEnd w:id="127"/>
      <w:bookmarkEnd w:id="128"/>
    </w:p>
    <w:p w14:paraId="2F74C606">
      <w:pPr>
        <w:tabs>
          <w:tab w:val="left" w:pos="900"/>
          <w:tab w:val="left" w:pos="1418"/>
        </w:tabs>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10.1见供应商须知前附表。</w:t>
      </w:r>
    </w:p>
    <w:p w14:paraId="0011B527">
      <w:pPr>
        <w:tabs>
          <w:tab w:val="left" w:pos="900"/>
          <w:tab w:val="left" w:pos="1418"/>
        </w:tabs>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10.2 </w:t>
      </w:r>
      <w:r>
        <w:rPr>
          <w:rFonts w:hint="eastAsia" w:ascii="宋体" w:hAnsi="宋体" w:cs="宋体"/>
          <w:bCs/>
          <w:color w:val="auto"/>
          <w:sz w:val="21"/>
          <w:szCs w:val="21"/>
          <w:highlight w:val="none"/>
          <w:lang w:val="en-US" w:eastAsia="zh-CN"/>
        </w:rPr>
        <w:t>登封市人民中医院</w:t>
      </w:r>
      <w:r>
        <w:rPr>
          <w:rFonts w:hint="eastAsia" w:ascii="宋体" w:hAnsi="宋体" w:eastAsia="宋体" w:cs="宋体"/>
          <w:bCs/>
          <w:color w:val="auto"/>
          <w:sz w:val="21"/>
          <w:szCs w:val="21"/>
          <w:highlight w:val="none"/>
        </w:rPr>
        <w:t>对本招标文件的全部内容享有最终解释权。</w:t>
      </w:r>
    </w:p>
    <w:p w14:paraId="45377CAA">
      <w:pPr>
        <w:pStyle w:val="2"/>
        <w:numPr>
          <w:ilvl w:val="0"/>
          <w:numId w:val="2"/>
        </w:numPr>
        <w:rPr>
          <w:rFonts w:ascii="宋体" w:hAnsi="宋体"/>
          <w:b/>
          <w:color w:val="auto"/>
          <w:sz w:val="32"/>
          <w:szCs w:val="32"/>
          <w:highlight w:val="none"/>
        </w:rPr>
      </w:pPr>
      <w:bookmarkStart w:id="129" w:name="_Toc192386455"/>
      <w:bookmarkStart w:id="130" w:name="_Toc317669033"/>
      <w:bookmarkStart w:id="131" w:name="_Toc276229549"/>
      <w:bookmarkStart w:id="132" w:name="_Toc276230907"/>
      <w:bookmarkStart w:id="133" w:name="_Toc192386456"/>
      <w:r>
        <w:rPr>
          <w:rFonts w:hint="eastAsia" w:ascii="宋体" w:hAnsi="宋体"/>
          <w:b/>
          <w:color w:val="auto"/>
          <w:sz w:val="32"/>
          <w:szCs w:val="32"/>
          <w:highlight w:val="none"/>
        </w:rPr>
        <w:t xml:space="preserve"> </w:t>
      </w:r>
      <w:bookmarkStart w:id="134" w:name="_Toc30031"/>
      <w:r>
        <w:rPr>
          <w:rFonts w:hint="eastAsia" w:ascii="宋体" w:hAnsi="宋体"/>
          <w:b/>
          <w:color w:val="auto"/>
          <w:sz w:val="32"/>
          <w:szCs w:val="32"/>
          <w:highlight w:val="none"/>
        </w:rPr>
        <w:t>评标办法（综合评分法）</w:t>
      </w:r>
      <w:bookmarkEnd w:id="129"/>
      <w:bookmarkEnd w:id="130"/>
      <w:bookmarkEnd w:id="131"/>
      <w:bookmarkEnd w:id="132"/>
      <w:bookmarkEnd w:id="134"/>
    </w:p>
    <w:p w14:paraId="34554FB7">
      <w:pPr>
        <w:pStyle w:val="3"/>
        <w:rPr>
          <w:rFonts w:hint="eastAsia" w:ascii="宋体" w:hAnsi="宋体" w:eastAsia="宋体" w:cs="宋体"/>
          <w:b/>
          <w:color w:val="auto"/>
          <w:kern w:val="0"/>
          <w:sz w:val="21"/>
          <w:szCs w:val="21"/>
          <w:highlight w:val="none"/>
        </w:rPr>
      </w:pPr>
      <w:bookmarkStart w:id="135" w:name="_Toc7874"/>
      <w:bookmarkStart w:id="136" w:name="_Toc21592"/>
      <w:bookmarkStart w:id="137" w:name="_Toc19923"/>
      <w:bookmarkStart w:id="138" w:name="_Toc8371"/>
      <w:r>
        <w:rPr>
          <w:rFonts w:hint="eastAsia" w:ascii="宋体" w:hAnsi="宋体" w:eastAsia="宋体" w:cs="宋体"/>
          <w:b/>
          <w:color w:val="auto"/>
          <w:kern w:val="0"/>
          <w:sz w:val="21"/>
          <w:szCs w:val="21"/>
          <w:highlight w:val="none"/>
        </w:rPr>
        <w:t>一、资格审查</w:t>
      </w:r>
      <w:bookmarkEnd w:id="135"/>
      <w:r>
        <w:rPr>
          <w:rFonts w:hint="eastAsia" w:ascii="宋体" w:hAnsi="宋体" w:eastAsia="宋体" w:cs="宋体"/>
          <w:b/>
          <w:color w:val="auto"/>
          <w:kern w:val="0"/>
          <w:sz w:val="21"/>
          <w:szCs w:val="21"/>
          <w:highlight w:val="none"/>
        </w:rPr>
        <w:t>办法</w:t>
      </w:r>
      <w:bookmarkEnd w:id="136"/>
      <w:bookmarkEnd w:id="137"/>
      <w:bookmarkEnd w:id="138"/>
    </w:p>
    <w:tbl>
      <w:tblPr>
        <w:tblStyle w:val="3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72"/>
        <w:gridCol w:w="6271"/>
      </w:tblGrid>
      <w:tr w14:paraId="5053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blHeader/>
          <w:jc w:val="center"/>
        </w:trPr>
        <w:tc>
          <w:tcPr>
            <w:tcW w:w="775" w:type="dxa"/>
            <w:noWrap/>
            <w:vAlign w:val="center"/>
          </w:tcPr>
          <w:p w14:paraId="0A7F84A8">
            <w:pPr>
              <w:pStyle w:val="28"/>
              <w:spacing w:after="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序号</w:t>
            </w:r>
          </w:p>
        </w:tc>
        <w:tc>
          <w:tcPr>
            <w:tcW w:w="2272" w:type="dxa"/>
            <w:noWrap/>
            <w:vAlign w:val="center"/>
          </w:tcPr>
          <w:p w14:paraId="25C8509B">
            <w:pPr>
              <w:pStyle w:val="28"/>
              <w:spacing w:after="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审查因素</w:t>
            </w:r>
          </w:p>
        </w:tc>
        <w:tc>
          <w:tcPr>
            <w:tcW w:w="6271" w:type="dxa"/>
            <w:noWrap/>
            <w:vAlign w:val="center"/>
          </w:tcPr>
          <w:p w14:paraId="0107DC4A">
            <w:pPr>
              <w:pStyle w:val="28"/>
              <w:spacing w:after="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资格审查内容及要求</w:t>
            </w:r>
          </w:p>
        </w:tc>
      </w:tr>
      <w:tr w14:paraId="5869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75" w:type="dxa"/>
            <w:noWrap/>
            <w:vAlign w:val="center"/>
          </w:tcPr>
          <w:p w14:paraId="58ACF5B2">
            <w:pPr>
              <w:pStyle w:val="28"/>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272" w:type="dxa"/>
            <w:noWrap/>
            <w:vAlign w:val="center"/>
          </w:tcPr>
          <w:p w14:paraId="1855C41A">
            <w:pPr>
              <w:pStyle w:val="28"/>
              <w:spacing w:after="0"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独立承担民事责任的能力</w:t>
            </w:r>
          </w:p>
        </w:tc>
        <w:tc>
          <w:tcPr>
            <w:tcW w:w="6271" w:type="dxa"/>
            <w:noWrap/>
            <w:vAlign w:val="center"/>
          </w:tcPr>
          <w:p w14:paraId="43A0F6BE">
            <w:pPr>
              <w:pStyle w:val="28"/>
              <w:spacing w:after="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具有独立承担民事责任的能力，持有真实有效的营业执照</w:t>
            </w:r>
            <w:r>
              <w:rPr>
                <w:rFonts w:hint="eastAsia" w:ascii="宋体" w:hAnsi="宋体" w:eastAsia="宋体" w:cs="宋体"/>
                <w:color w:val="auto"/>
                <w:sz w:val="21"/>
                <w:szCs w:val="21"/>
                <w:highlight w:val="none"/>
                <w:lang w:val="en-US" w:eastAsia="zh-CN"/>
              </w:rPr>
              <w:t>.</w:t>
            </w:r>
          </w:p>
        </w:tc>
      </w:tr>
      <w:tr w14:paraId="50AB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75" w:type="dxa"/>
            <w:noWrap/>
            <w:vAlign w:val="center"/>
          </w:tcPr>
          <w:p w14:paraId="78F34671">
            <w:pPr>
              <w:pStyle w:val="28"/>
              <w:spacing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72" w:type="dxa"/>
            <w:noWrap/>
            <w:vAlign w:val="center"/>
          </w:tcPr>
          <w:p w14:paraId="26640B4B">
            <w:pPr>
              <w:pStyle w:val="28"/>
              <w:spacing w:after="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供应商资格承诺</w:t>
            </w:r>
            <w:r>
              <w:rPr>
                <w:rFonts w:hint="eastAsia" w:ascii="宋体" w:hAnsi="宋体" w:eastAsia="宋体" w:cs="宋体"/>
                <w:color w:val="auto"/>
                <w:sz w:val="21"/>
                <w:szCs w:val="21"/>
                <w:highlight w:val="none"/>
                <w:lang w:val="en-US" w:eastAsia="zh-CN"/>
              </w:rPr>
              <w:t>声明函</w:t>
            </w:r>
          </w:p>
        </w:tc>
        <w:tc>
          <w:tcPr>
            <w:tcW w:w="6271" w:type="dxa"/>
            <w:noWrap/>
            <w:vAlign w:val="center"/>
          </w:tcPr>
          <w:p w14:paraId="3A966414">
            <w:pPr>
              <w:pStyle w:val="28"/>
              <w:spacing w:after="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符</w:t>
            </w:r>
            <w:r>
              <w:rPr>
                <w:rFonts w:hint="eastAsia" w:ascii="宋体" w:hAnsi="宋体" w:eastAsia="宋体" w:cs="宋体"/>
                <w:color w:val="auto"/>
                <w:sz w:val="21"/>
                <w:szCs w:val="21"/>
                <w:highlight w:val="none"/>
                <w:lang w:val="en-US" w:eastAsia="zh-CN"/>
              </w:rPr>
              <w:t>合第六章</w:t>
            </w:r>
            <w:r>
              <w:rPr>
                <w:rFonts w:hint="eastAsia" w:ascii="宋体" w:hAnsi="宋体" w:eastAsia="宋体" w:cs="宋体"/>
                <w:color w:val="auto"/>
                <w:sz w:val="21"/>
                <w:szCs w:val="21"/>
                <w:highlight w:val="none"/>
                <w:lang w:eastAsia="zh-CN"/>
              </w:rPr>
              <w:t>“供应商信用承诺函”规定</w:t>
            </w:r>
          </w:p>
        </w:tc>
      </w:tr>
      <w:tr w14:paraId="2694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75" w:type="dxa"/>
            <w:noWrap/>
            <w:vAlign w:val="center"/>
          </w:tcPr>
          <w:p w14:paraId="310BE07C">
            <w:pPr>
              <w:pStyle w:val="28"/>
              <w:spacing w:line="36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72" w:type="dxa"/>
            <w:noWrap/>
            <w:vAlign w:val="center"/>
          </w:tcPr>
          <w:p w14:paraId="548EE5A4">
            <w:pPr>
              <w:pStyle w:val="28"/>
              <w:spacing w:after="0"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271" w:type="dxa"/>
            <w:noWrap/>
            <w:vAlign w:val="center"/>
          </w:tcPr>
          <w:p w14:paraId="46C499A1">
            <w:pPr>
              <w:pStyle w:val="28"/>
              <w:spacing w:after="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符合第二章“供应商须知前附表”第1.4.1项规定</w:t>
            </w:r>
          </w:p>
        </w:tc>
      </w:tr>
    </w:tbl>
    <w:p w14:paraId="3F7147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采购人或者采购代理机构按资格审查办法规定的资格审查标准对供应商的资格进行审查，</w:t>
      </w:r>
      <w:r>
        <w:rPr>
          <w:rFonts w:hint="eastAsia" w:ascii="宋体" w:hAnsi="宋体" w:eastAsia="宋体" w:cs="宋体"/>
          <w:color w:val="auto"/>
          <w:sz w:val="21"/>
          <w:szCs w:val="21"/>
          <w:highlight w:val="none"/>
          <w:lang w:eastAsia="zh-CN"/>
        </w:rPr>
        <w:t>供应商投标文件中</w:t>
      </w:r>
      <w:r>
        <w:rPr>
          <w:rFonts w:hint="eastAsia" w:ascii="宋体" w:hAnsi="宋体" w:eastAsia="宋体" w:cs="宋体"/>
          <w:color w:val="auto"/>
          <w:sz w:val="21"/>
          <w:szCs w:val="21"/>
          <w:highlight w:val="none"/>
        </w:rPr>
        <w:t>有一项不符合审查标准的，则资格审查不合格，其投标将被否决。</w:t>
      </w:r>
    </w:p>
    <w:p w14:paraId="08E4D4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通过资格审查的供应商不足3家的，不得评标，应予废标。</w:t>
      </w:r>
    </w:p>
    <w:p w14:paraId="0B9761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采购人或者采购代理机构应提交书面资格审查报告，列明通过资格审查的供应商。</w:t>
      </w:r>
    </w:p>
    <w:p w14:paraId="26A666DA">
      <w:pPr>
        <w:rPr>
          <w:rFonts w:hint="eastAsia" w:ascii="宋体" w:hAnsi="宋体" w:eastAsia="宋体" w:cs="宋体"/>
          <w:color w:val="auto"/>
          <w:sz w:val="21"/>
          <w:szCs w:val="21"/>
          <w:highlight w:val="none"/>
        </w:rPr>
      </w:pPr>
    </w:p>
    <w:p w14:paraId="542B5A33">
      <w:pPr>
        <w:rPr>
          <w:rFonts w:hint="eastAsia" w:ascii="宋体" w:hAnsi="宋体" w:eastAsia="宋体" w:cs="宋体"/>
          <w:b/>
          <w:color w:val="auto"/>
          <w:sz w:val="21"/>
          <w:szCs w:val="21"/>
          <w:highlight w:val="none"/>
        </w:rPr>
      </w:pPr>
      <w:bookmarkStart w:id="139" w:name="_Toc23043"/>
      <w:bookmarkStart w:id="140" w:name="_Toc24107"/>
      <w:bookmarkStart w:id="141" w:name="_Toc191983638"/>
      <w:r>
        <w:rPr>
          <w:rFonts w:hint="eastAsia" w:ascii="宋体" w:hAnsi="宋体" w:eastAsia="宋体" w:cs="宋体"/>
          <w:b/>
          <w:color w:val="auto"/>
          <w:sz w:val="21"/>
          <w:szCs w:val="21"/>
          <w:highlight w:val="none"/>
        </w:rPr>
        <w:br w:type="page"/>
      </w:r>
    </w:p>
    <w:p w14:paraId="1F10E1E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二、评标办法须知前附表</w:t>
      </w:r>
    </w:p>
    <w:tbl>
      <w:tblPr>
        <w:tblStyle w:val="30"/>
        <w:tblW w:w="98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1290"/>
        <w:gridCol w:w="1737"/>
        <w:gridCol w:w="6008"/>
      </w:tblGrid>
      <w:tr w14:paraId="49643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2114" w:type="dxa"/>
            <w:gridSpan w:val="2"/>
            <w:tcBorders>
              <w:top w:val="single" w:color="auto" w:sz="4" w:space="0"/>
              <w:bottom w:val="single" w:color="auto" w:sz="4" w:space="0"/>
              <w:right w:val="single" w:color="auto" w:sz="4" w:space="0"/>
            </w:tcBorders>
            <w:noWrap/>
            <w:vAlign w:val="center"/>
          </w:tcPr>
          <w:p w14:paraId="125F09D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37" w:type="dxa"/>
            <w:tcBorders>
              <w:top w:val="single" w:color="auto" w:sz="4" w:space="0"/>
              <w:left w:val="single" w:color="auto" w:sz="4" w:space="0"/>
              <w:bottom w:val="single" w:color="auto" w:sz="4" w:space="0"/>
              <w:right w:val="single" w:color="auto" w:sz="4" w:space="0"/>
            </w:tcBorders>
            <w:noWrap/>
            <w:vAlign w:val="center"/>
          </w:tcPr>
          <w:p w14:paraId="0501D99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008" w:type="dxa"/>
            <w:tcBorders>
              <w:top w:val="single" w:color="auto" w:sz="4" w:space="0"/>
              <w:left w:val="single" w:color="auto" w:sz="4" w:space="0"/>
              <w:bottom w:val="single" w:color="auto" w:sz="4" w:space="0"/>
              <w:right w:val="single" w:color="auto" w:sz="4" w:space="0"/>
            </w:tcBorders>
            <w:noWrap/>
            <w:vAlign w:val="center"/>
          </w:tcPr>
          <w:p w14:paraId="7EE9A0B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2017A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restart"/>
            <w:tcBorders>
              <w:top w:val="single" w:color="auto" w:sz="4" w:space="0"/>
              <w:right w:val="single" w:color="auto" w:sz="4" w:space="0"/>
            </w:tcBorders>
            <w:noWrap/>
            <w:vAlign w:val="center"/>
          </w:tcPr>
          <w:p w14:paraId="0C3483A0">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290" w:type="dxa"/>
            <w:vMerge w:val="restart"/>
            <w:tcBorders>
              <w:top w:val="single" w:color="auto" w:sz="4" w:space="0"/>
              <w:right w:val="single" w:color="auto" w:sz="4" w:space="0"/>
            </w:tcBorders>
            <w:noWrap/>
            <w:vAlign w:val="center"/>
          </w:tcPr>
          <w:p w14:paraId="78DE37EA">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737" w:type="dxa"/>
            <w:tcBorders>
              <w:top w:val="single" w:color="auto" w:sz="4" w:space="0"/>
              <w:left w:val="single" w:color="auto" w:sz="4" w:space="0"/>
              <w:bottom w:val="single" w:color="auto" w:sz="4" w:space="0"/>
              <w:right w:val="single" w:color="auto" w:sz="4" w:space="0"/>
            </w:tcBorders>
            <w:noWrap/>
            <w:vAlign w:val="center"/>
          </w:tcPr>
          <w:p w14:paraId="2EA01943">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6008" w:type="dxa"/>
            <w:tcBorders>
              <w:top w:val="single" w:color="auto" w:sz="4" w:space="0"/>
              <w:left w:val="single" w:color="auto" w:sz="4" w:space="0"/>
              <w:bottom w:val="single" w:color="auto" w:sz="4" w:space="0"/>
              <w:right w:val="single" w:color="auto" w:sz="4" w:space="0"/>
            </w:tcBorders>
            <w:noWrap/>
            <w:vAlign w:val="center"/>
          </w:tcPr>
          <w:p w14:paraId="4B0752CC">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与营业执照（如为事业单位，与法人证书一致）</w:t>
            </w:r>
          </w:p>
        </w:tc>
      </w:tr>
      <w:tr w14:paraId="5C062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64EC8067">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4802456B">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0B9995EE">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w:t>
            </w:r>
          </w:p>
        </w:tc>
        <w:tc>
          <w:tcPr>
            <w:tcW w:w="6008" w:type="dxa"/>
            <w:tcBorders>
              <w:top w:val="single" w:color="auto" w:sz="4" w:space="0"/>
              <w:left w:val="single" w:color="auto" w:sz="4" w:space="0"/>
              <w:bottom w:val="single" w:color="auto" w:sz="4" w:space="0"/>
              <w:right w:val="single" w:color="auto" w:sz="4" w:space="0"/>
            </w:tcBorders>
            <w:noWrap/>
            <w:vAlign w:val="center"/>
          </w:tcPr>
          <w:p w14:paraId="6AA02B43">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符合招标文件要求</w:t>
            </w:r>
          </w:p>
        </w:tc>
      </w:tr>
      <w:tr w14:paraId="2E770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7166CA9D">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1A7046E0">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3FF46896">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08" w:type="dxa"/>
            <w:tcBorders>
              <w:top w:val="single" w:color="auto" w:sz="4" w:space="0"/>
              <w:left w:val="single" w:color="auto" w:sz="4" w:space="0"/>
              <w:bottom w:val="single" w:color="auto" w:sz="4" w:space="0"/>
              <w:right w:val="single" w:color="auto" w:sz="4" w:space="0"/>
            </w:tcBorders>
            <w:noWrap/>
            <w:vAlign w:val="center"/>
          </w:tcPr>
          <w:p w14:paraId="751408B7">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7D792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restart"/>
            <w:tcBorders>
              <w:top w:val="single" w:color="auto" w:sz="4" w:space="0"/>
              <w:right w:val="single" w:color="auto" w:sz="4" w:space="0"/>
            </w:tcBorders>
            <w:noWrap/>
            <w:vAlign w:val="center"/>
          </w:tcPr>
          <w:p w14:paraId="687F4A4F">
            <w:pPr>
              <w:tabs>
                <w:tab w:val="left" w:pos="900"/>
                <w:tab w:val="left" w:pos="1418"/>
              </w:tabs>
              <w:spacing w:line="360" w:lineRule="auto"/>
              <w:jc w:val="center"/>
              <w:rPr>
                <w:rFonts w:hint="eastAsia" w:ascii="宋体" w:hAnsi="宋体" w:eastAsia="宋体" w:cs="宋体"/>
                <w:color w:val="auto"/>
                <w:sz w:val="21"/>
                <w:szCs w:val="21"/>
                <w:highlight w:val="none"/>
              </w:rPr>
            </w:pPr>
          </w:p>
          <w:p w14:paraId="44AF9046">
            <w:pPr>
              <w:tabs>
                <w:tab w:val="left" w:pos="900"/>
                <w:tab w:val="left" w:pos="1418"/>
              </w:tabs>
              <w:spacing w:line="360" w:lineRule="auto"/>
              <w:jc w:val="center"/>
              <w:rPr>
                <w:rFonts w:hint="eastAsia" w:ascii="宋体" w:hAnsi="宋体" w:eastAsia="宋体" w:cs="宋体"/>
                <w:color w:val="auto"/>
                <w:sz w:val="21"/>
                <w:szCs w:val="21"/>
                <w:highlight w:val="none"/>
              </w:rPr>
            </w:pPr>
          </w:p>
          <w:p w14:paraId="451C47B3">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p w14:paraId="0EA681BB">
            <w:pPr>
              <w:tabs>
                <w:tab w:val="left" w:pos="900"/>
                <w:tab w:val="left" w:pos="1418"/>
              </w:tabs>
              <w:spacing w:line="360" w:lineRule="auto"/>
              <w:jc w:val="center"/>
              <w:rPr>
                <w:rFonts w:hint="eastAsia" w:ascii="宋体" w:hAnsi="宋体" w:eastAsia="宋体" w:cs="宋体"/>
                <w:color w:val="auto"/>
                <w:sz w:val="21"/>
                <w:szCs w:val="21"/>
                <w:highlight w:val="none"/>
              </w:rPr>
            </w:pPr>
          </w:p>
          <w:p w14:paraId="487FCFF4">
            <w:pPr>
              <w:tabs>
                <w:tab w:val="left" w:pos="900"/>
                <w:tab w:val="left" w:pos="1418"/>
              </w:tabs>
              <w:spacing w:line="360" w:lineRule="auto"/>
              <w:jc w:val="center"/>
              <w:rPr>
                <w:rFonts w:hint="eastAsia" w:ascii="宋体" w:hAnsi="宋体" w:eastAsia="宋体" w:cs="宋体"/>
                <w:color w:val="auto"/>
                <w:sz w:val="21"/>
                <w:szCs w:val="21"/>
                <w:highlight w:val="none"/>
              </w:rPr>
            </w:pPr>
          </w:p>
          <w:p w14:paraId="5F5F42C9">
            <w:pPr>
              <w:tabs>
                <w:tab w:val="left" w:pos="900"/>
                <w:tab w:val="left" w:pos="1418"/>
              </w:tabs>
              <w:spacing w:line="360" w:lineRule="auto"/>
              <w:jc w:val="center"/>
              <w:rPr>
                <w:rFonts w:hint="eastAsia" w:ascii="宋体" w:hAnsi="宋体" w:eastAsia="宋体" w:cs="宋体"/>
                <w:color w:val="auto"/>
                <w:sz w:val="21"/>
                <w:szCs w:val="21"/>
                <w:highlight w:val="none"/>
              </w:rPr>
            </w:pPr>
          </w:p>
          <w:p w14:paraId="48D448E3">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restart"/>
            <w:tcBorders>
              <w:top w:val="single" w:color="auto" w:sz="4" w:space="0"/>
              <w:right w:val="single" w:color="auto" w:sz="4" w:space="0"/>
            </w:tcBorders>
            <w:noWrap/>
            <w:vAlign w:val="center"/>
          </w:tcPr>
          <w:p w14:paraId="24457B10">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符合性评审标准</w:t>
            </w:r>
          </w:p>
        </w:tc>
        <w:tc>
          <w:tcPr>
            <w:tcW w:w="1737" w:type="dxa"/>
            <w:tcBorders>
              <w:top w:val="single" w:color="auto" w:sz="4" w:space="0"/>
              <w:left w:val="single" w:color="auto" w:sz="4" w:space="0"/>
              <w:bottom w:val="single" w:color="auto" w:sz="4" w:space="0"/>
              <w:right w:val="single" w:color="auto" w:sz="4" w:space="0"/>
            </w:tcBorders>
            <w:noWrap/>
            <w:vAlign w:val="center"/>
          </w:tcPr>
          <w:p w14:paraId="46E57725">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008" w:type="dxa"/>
            <w:tcBorders>
              <w:top w:val="single" w:color="auto" w:sz="4" w:space="0"/>
              <w:left w:val="single" w:color="auto" w:sz="4" w:space="0"/>
              <w:bottom w:val="single" w:color="auto" w:sz="4" w:space="0"/>
              <w:right w:val="single" w:color="auto" w:sz="4" w:space="0"/>
            </w:tcBorders>
            <w:noWrap/>
            <w:vAlign w:val="center"/>
          </w:tcPr>
          <w:p w14:paraId="1BEA8745">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符合招标文件第二章“供应商须知前附表”第10.1.1项要求</w:t>
            </w:r>
          </w:p>
        </w:tc>
      </w:tr>
      <w:tr w14:paraId="70A6A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3F07357D">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66EF3C38">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082F7902">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投标范围</w:t>
            </w:r>
          </w:p>
        </w:tc>
        <w:tc>
          <w:tcPr>
            <w:tcW w:w="6008" w:type="dxa"/>
            <w:tcBorders>
              <w:top w:val="single" w:color="auto" w:sz="4" w:space="0"/>
              <w:left w:val="single" w:color="auto" w:sz="4" w:space="0"/>
              <w:bottom w:val="single" w:color="auto" w:sz="4" w:space="0"/>
              <w:right w:val="single" w:color="auto" w:sz="4" w:space="0"/>
            </w:tcBorders>
            <w:noWrap/>
            <w:vAlign w:val="center"/>
          </w:tcPr>
          <w:p w14:paraId="6C16F5B8">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符合招标文件第二章“供应商须知前附表”第1.3.1项要求</w:t>
            </w:r>
          </w:p>
        </w:tc>
      </w:tr>
      <w:tr w14:paraId="7A93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45AB8868">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065D3A04">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29CE89BC">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008" w:type="dxa"/>
            <w:tcBorders>
              <w:top w:val="single" w:color="auto" w:sz="4" w:space="0"/>
              <w:left w:val="single" w:color="auto" w:sz="4" w:space="0"/>
              <w:bottom w:val="single" w:color="auto" w:sz="4" w:space="0"/>
              <w:right w:val="single" w:color="auto" w:sz="4" w:space="0"/>
            </w:tcBorders>
            <w:noWrap/>
            <w:vAlign w:val="center"/>
          </w:tcPr>
          <w:p w14:paraId="41CBB8DD">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符合招标文件第二章“供应商须知前附表”第1.3.3项要求</w:t>
            </w:r>
          </w:p>
        </w:tc>
      </w:tr>
      <w:tr w14:paraId="2FA9A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558B6F7B">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103821ED">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68CB55CE">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008" w:type="dxa"/>
            <w:tcBorders>
              <w:top w:val="single" w:color="auto" w:sz="4" w:space="0"/>
              <w:left w:val="single" w:color="auto" w:sz="4" w:space="0"/>
              <w:bottom w:val="single" w:color="auto" w:sz="4" w:space="0"/>
              <w:right w:val="single" w:color="auto" w:sz="4" w:space="0"/>
            </w:tcBorders>
            <w:noWrap/>
            <w:vAlign w:val="center"/>
          </w:tcPr>
          <w:p w14:paraId="2F5A8D3A">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符合招标文件第二章“供应商须知前附表”第1.3.4项要求</w:t>
            </w:r>
          </w:p>
        </w:tc>
      </w:tr>
      <w:tr w14:paraId="290B9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07B877EC">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6A6AA773">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3F40D8F4">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6008" w:type="dxa"/>
            <w:tcBorders>
              <w:top w:val="single" w:color="auto" w:sz="4" w:space="0"/>
              <w:left w:val="single" w:color="auto" w:sz="4" w:space="0"/>
              <w:bottom w:val="single" w:color="auto" w:sz="4" w:space="0"/>
              <w:right w:val="single" w:color="auto" w:sz="4" w:space="0"/>
            </w:tcBorders>
            <w:noWrap/>
            <w:vAlign w:val="center"/>
          </w:tcPr>
          <w:p w14:paraId="694115E7">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符合招标文件第二章“供应商须知前附表”第1.3.5项要求</w:t>
            </w:r>
          </w:p>
        </w:tc>
      </w:tr>
      <w:tr w14:paraId="10EE3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372E0EB2">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360FE36C">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5CBC9B67">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投标承诺函</w:t>
            </w:r>
          </w:p>
        </w:tc>
        <w:tc>
          <w:tcPr>
            <w:tcW w:w="6008" w:type="dxa"/>
            <w:tcBorders>
              <w:top w:val="single" w:color="auto" w:sz="4" w:space="0"/>
              <w:left w:val="single" w:color="auto" w:sz="4" w:space="0"/>
              <w:bottom w:val="single" w:color="auto" w:sz="4" w:space="0"/>
              <w:right w:val="single" w:color="auto" w:sz="4" w:space="0"/>
            </w:tcBorders>
            <w:noWrap/>
            <w:vAlign w:val="center"/>
          </w:tcPr>
          <w:p w14:paraId="67A262A8">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符合招标文件第</w:t>
            </w:r>
            <w:r>
              <w:rPr>
                <w:rFonts w:hint="eastAsia" w:ascii="宋体" w:hAnsi="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cs="宋体"/>
                <w:color w:val="auto"/>
                <w:sz w:val="21"/>
                <w:szCs w:val="21"/>
                <w:highlight w:val="none"/>
                <w:lang w:eastAsia="zh-CN"/>
              </w:rPr>
              <w:t>投标文件格式</w:t>
            </w:r>
            <w:r>
              <w:rPr>
                <w:rFonts w:hint="eastAsia" w:ascii="宋体" w:hAnsi="宋体" w:eastAsia="宋体" w:cs="宋体"/>
                <w:color w:val="auto"/>
                <w:sz w:val="21"/>
                <w:szCs w:val="21"/>
                <w:highlight w:val="none"/>
              </w:rPr>
              <w:t>”要求</w:t>
            </w:r>
          </w:p>
        </w:tc>
      </w:tr>
      <w:tr w14:paraId="7148F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4" w:type="dxa"/>
            <w:vMerge w:val="continue"/>
            <w:tcBorders>
              <w:right w:val="single" w:color="auto" w:sz="4" w:space="0"/>
            </w:tcBorders>
            <w:noWrap/>
            <w:vAlign w:val="center"/>
          </w:tcPr>
          <w:p w14:paraId="7B5BA018">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290" w:type="dxa"/>
            <w:vMerge w:val="continue"/>
            <w:tcBorders>
              <w:right w:val="single" w:color="auto" w:sz="4" w:space="0"/>
            </w:tcBorders>
            <w:noWrap/>
            <w:vAlign w:val="center"/>
          </w:tcPr>
          <w:p w14:paraId="5564CF8F">
            <w:pPr>
              <w:tabs>
                <w:tab w:val="left" w:pos="900"/>
                <w:tab w:val="left" w:pos="1418"/>
              </w:tabs>
              <w:spacing w:line="36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520AD338">
            <w:pPr>
              <w:tabs>
                <w:tab w:val="left" w:pos="900"/>
                <w:tab w:val="left" w:pos="1418"/>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008" w:type="dxa"/>
            <w:tcBorders>
              <w:top w:val="single" w:color="auto" w:sz="4" w:space="0"/>
              <w:left w:val="single" w:color="auto" w:sz="4" w:space="0"/>
              <w:bottom w:val="single" w:color="auto" w:sz="4" w:space="0"/>
              <w:right w:val="single" w:color="auto" w:sz="4" w:space="0"/>
            </w:tcBorders>
            <w:noWrap/>
            <w:vAlign w:val="center"/>
          </w:tcPr>
          <w:p w14:paraId="7113BB29">
            <w:pPr>
              <w:tabs>
                <w:tab w:val="left" w:pos="900"/>
                <w:tab w:val="left" w:pos="1418"/>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符合招标文件第二章“供应商须知前附表”第3.3.1项要求</w:t>
            </w:r>
          </w:p>
        </w:tc>
      </w:tr>
    </w:tbl>
    <w:p w14:paraId="67D3E252">
      <w:pPr>
        <w:pStyle w:val="7"/>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注：以上资格证明文件以供应商提供投标文件复印件加盖公章为准；</w:t>
      </w:r>
    </w:p>
    <w:p w14:paraId="1FE29AA3">
      <w:pPr>
        <w:spacing w:line="360" w:lineRule="auto"/>
        <w:rPr>
          <w:rFonts w:hint="eastAsia" w:ascii="宋体" w:hAnsi="宋体" w:eastAsia="宋体" w:cs="宋体"/>
          <w:b/>
          <w:color w:val="auto"/>
          <w:sz w:val="21"/>
          <w:szCs w:val="21"/>
          <w:highlight w:val="none"/>
        </w:rPr>
      </w:pPr>
    </w:p>
    <w:p w14:paraId="4776E6C6">
      <w:pPr>
        <w:pStyle w:val="6"/>
        <w:rPr>
          <w:rFonts w:hint="eastAsia" w:ascii="宋体" w:hAnsi="宋体" w:eastAsia="宋体" w:cs="宋体"/>
          <w:b/>
          <w:color w:val="auto"/>
          <w:sz w:val="21"/>
          <w:szCs w:val="21"/>
          <w:highlight w:val="none"/>
        </w:rPr>
      </w:pPr>
    </w:p>
    <w:p w14:paraId="5D0F9C17">
      <w:pPr>
        <w:rPr>
          <w:rFonts w:hint="eastAsia"/>
        </w:rPr>
      </w:pPr>
    </w:p>
    <w:p w14:paraId="35B3E5EC">
      <w:pPr>
        <w:numPr>
          <w:ilvl w:val="0"/>
          <w:numId w:val="3"/>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评分办法</w:t>
      </w:r>
    </w:p>
    <w:tbl>
      <w:tblPr>
        <w:tblStyle w:val="30"/>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05"/>
        <w:gridCol w:w="6089"/>
        <w:gridCol w:w="685"/>
      </w:tblGrid>
      <w:tr w14:paraId="727F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0" w:type="dxa"/>
            <w:noWrap/>
            <w:vAlign w:val="center"/>
          </w:tcPr>
          <w:p w14:paraId="5D497576">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评分因素</w:t>
            </w:r>
          </w:p>
        </w:tc>
        <w:tc>
          <w:tcPr>
            <w:tcW w:w="1305" w:type="dxa"/>
            <w:noWrap/>
            <w:vAlign w:val="center"/>
          </w:tcPr>
          <w:p w14:paraId="4686E8E9">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评分内容</w:t>
            </w:r>
          </w:p>
        </w:tc>
        <w:tc>
          <w:tcPr>
            <w:tcW w:w="6089" w:type="dxa"/>
            <w:noWrap/>
            <w:vAlign w:val="center"/>
          </w:tcPr>
          <w:p w14:paraId="2BFCF398">
            <w:pPr>
              <w:keepNext w:val="0"/>
              <w:keepLines w:val="0"/>
              <w:pageBreakBefore w:val="0"/>
              <w:kinsoku/>
              <w:wordWrap/>
              <w:overflowPunct/>
              <w:topLinePunct w:val="0"/>
              <w:bidi w:val="0"/>
              <w:spacing w:line="400" w:lineRule="exact"/>
              <w:ind w:firstLine="316" w:firstLineChars="150"/>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评分标准</w:t>
            </w:r>
          </w:p>
        </w:tc>
        <w:tc>
          <w:tcPr>
            <w:tcW w:w="685" w:type="dxa"/>
            <w:noWrap/>
            <w:vAlign w:val="center"/>
          </w:tcPr>
          <w:p w14:paraId="42E923DC">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分值</w:t>
            </w:r>
          </w:p>
        </w:tc>
      </w:tr>
      <w:tr w14:paraId="5B31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80" w:type="dxa"/>
            <w:noWrap/>
            <w:vAlign w:val="center"/>
          </w:tcPr>
          <w:p w14:paraId="6D0381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报价部分（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0分）</w:t>
            </w:r>
          </w:p>
        </w:tc>
        <w:tc>
          <w:tcPr>
            <w:tcW w:w="1305" w:type="dxa"/>
            <w:noWrap/>
            <w:vAlign w:val="center"/>
          </w:tcPr>
          <w:p w14:paraId="438149D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tc>
        <w:tc>
          <w:tcPr>
            <w:tcW w:w="6089" w:type="dxa"/>
            <w:noWrap/>
            <w:vAlign w:val="center"/>
          </w:tcPr>
          <w:p w14:paraId="5647FD60">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价格分统一采用低价优先法计算，即满足采购文件要求且投标价格最低的投标报价为评标基准价，其价格分为满分。其他供应商的价格分统一按照下列公式计算：投标报价得分=（评标基准价/投标报价）×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0</w:t>
            </w:r>
          </w:p>
          <w:p w14:paraId="1BB7013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注：根据郑财购〔2021〕12号，关于进一步提高政府采购效率优化营商环境有关事项的通知。供应商为小微企业的，对价格给予</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的扣除，用扣除后的价格参与评审。参加投标的小微企业，应当按照《政府采购促进中小企业发展管理办法》（财库〔2020〕46号）的规定提供《中小企业声明函》（中小企业划型标准详见《关于印发中小企业划型标准规定的通知》）。 供应商为大中型企业的不适用本款规定。成交供应商如为小型和微型企业的，并在投标时填写了中小企业声明函，若供应商提供虚假中小企业声明函，采购人有权取消该成交供应商的中标资格，并对因其造成的损失进行追责。</w:t>
            </w:r>
          </w:p>
        </w:tc>
        <w:tc>
          <w:tcPr>
            <w:tcW w:w="685" w:type="dxa"/>
            <w:noWrap/>
            <w:vAlign w:val="center"/>
          </w:tcPr>
          <w:p w14:paraId="033471FA">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0</w:t>
            </w:r>
          </w:p>
        </w:tc>
      </w:tr>
      <w:tr w14:paraId="7B14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80" w:type="dxa"/>
            <w:vMerge w:val="restart"/>
            <w:noWrap/>
            <w:vAlign w:val="center"/>
          </w:tcPr>
          <w:p w14:paraId="3ACBB46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商务部分（25分）</w:t>
            </w:r>
          </w:p>
        </w:tc>
        <w:tc>
          <w:tcPr>
            <w:tcW w:w="1305" w:type="dxa"/>
            <w:noWrap/>
            <w:vAlign w:val="center"/>
          </w:tcPr>
          <w:p w14:paraId="2C6E9259">
            <w:pPr>
              <w:spacing w:line="400" w:lineRule="exact"/>
              <w:jc w:val="center"/>
              <w:rPr>
                <w:rFonts w:ascii="宋体" w:hAnsi="宋体" w:cs="宋体"/>
                <w:szCs w:val="21"/>
              </w:rPr>
            </w:pPr>
            <w:r>
              <w:rPr>
                <w:rFonts w:hint="eastAsia" w:ascii="宋体" w:hAnsi="宋体" w:cs="宋体"/>
                <w:szCs w:val="21"/>
              </w:rPr>
              <w:t>业绩</w:t>
            </w:r>
          </w:p>
          <w:p w14:paraId="4B36365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none"/>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6089" w:type="dxa"/>
            <w:noWrap/>
            <w:vAlign w:val="center"/>
          </w:tcPr>
          <w:p w14:paraId="1006FC8E">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bCs/>
                <w:color w:val="auto"/>
                <w:sz w:val="21"/>
                <w:szCs w:val="21"/>
                <w:highlight w:val="none"/>
                <w:lang w:val="zh-CN"/>
              </w:rPr>
            </w:pPr>
            <w:r>
              <w:rPr>
                <w:rFonts w:hint="eastAsia" w:ascii="宋体" w:hAnsi="宋体" w:cs="宋体"/>
                <w:szCs w:val="21"/>
              </w:rPr>
              <w:t>投标人提供</w:t>
            </w:r>
            <w:r>
              <w:rPr>
                <w:rFonts w:hint="eastAsia" w:ascii="宋体" w:hAnsi="宋体" w:cs="宋体"/>
                <w:szCs w:val="21"/>
                <w:lang w:val="zh-CN"/>
              </w:rPr>
              <w:t>自20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年1月</w:t>
            </w:r>
            <w:r>
              <w:rPr>
                <w:rFonts w:hint="eastAsia" w:ascii="宋体" w:hAnsi="宋体" w:cs="宋体"/>
                <w:szCs w:val="21"/>
              </w:rPr>
              <w:t>以来（以合同签订时间为准）具有类似项目业绩</w:t>
            </w:r>
            <w:r>
              <w:rPr>
                <w:rFonts w:hint="eastAsia" w:ascii="宋体" w:hAnsi="宋体" w:cs="宋体"/>
                <w:szCs w:val="21"/>
                <w:lang w:val="zh-CN"/>
              </w:rPr>
              <w:t>。每提供</w:t>
            </w:r>
            <w:r>
              <w:rPr>
                <w:rFonts w:hint="eastAsia" w:ascii="宋体" w:hAnsi="宋体" w:cs="宋体"/>
                <w:szCs w:val="21"/>
              </w:rPr>
              <w:t>1份</w:t>
            </w:r>
            <w:r>
              <w:rPr>
                <w:rFonts w:hint="eastAsia" w:ascii="宋体" w:hAnsi="宋体" w:cs="宋体"/>
                <w:szCs w:val="21"/>
                <w:lang w:val="zh-CN"/>
              </w:rPr>
              <w:t>得</w:t>
            </w:r>
            <w:r>
              <w:rPr>
                <w:rFonts w:hint="eastAsia" w:ascii="宋体" w:hAnsi="宋体" w:cs="宋体"/>
                <w:szCs w:val="21"/>
                <w:lang w:val="en-US" w:eastAsia="zh-CN"/>
              </w:rPr>
              <w:t>2</w:t>
            </w:r>
            <w:r>
              <w:rPr>
                <w:rFonts w:hint="eastAsia" w:ascii="宋体" w:hAnsi="宋体" w:cs="宋体"/>
                <w:szCs w:val="21"/>
                <w:lang w:val="zh-CN"/>
              </w:rPr>
              <w:t>分，满分</w:t>
            </w:r>
            <w:r>
              <w:rPr>
                <w:rFonts w:hint="eastAsia" w:ascii="宋体" w:hAnsi="宋体" w:cs="宋体"/>
                <w:szCs w:val="21"/>
                <w:lang w:val="en-US" w:eastAsia="zh-CN"/>
              </w:rPr>
              <w:t>4</w:t>
            </w:r>
            <w:r>
              <w:rPr>
                <w:rFonts w:hint="eastAsia" w:ascii="宋体" w:hAnsi="宋体" w:cs="宋体"/>
                <w:szCs w:val="21"/>
                <w:lang w:val="zh-CN"/>
              </w:rPr>
              <w:t>分。（投标文件中须</w:t>
            </w:r>
            <w:r>
              <w:rPr>
                <w:rFonts w:hint="eastAsia" w:ascii="宋体" w:hAnsi="宋体" w:cs="宋体"/>
                <w:szCs w:val="21"/>
              </w:rPr>
              <w:t>提供合同和中标通知书复印件</w:t>
            </w:r>
            <w:r>
              <w:rPr>
                <w:rFonts w:ascii="宋体" w:hAnsi="宋体" w:cs="宋体"/>
                <w:szCs w:val="21"/>
              </w:rPr>
              <w:t>并加盖投标人公章</w:t>
            </w:r>
            <w:r>
              <w:rPr>
                <w:rFonts w:hint="eastAsia" w:ascii="宋体" w:hAnsi="宋体" w:cs="宋体"/>
                <w:szCs w:val="21"/>
              </w:rPr>
              <w:t>，</w:t>
            </w:r>
            <w:r>
              <w:rPr>
                <w:rFonts w:hint="eastAsia" w:ascii="宋体" w:hAnsi="宋体" w:cs="宋体"/>
                <w:szCs w:val="21"/>
                <w:lang w:val="zh-CN"/>
              </w:rPr>
              <w:t>否则不得分）</w:t>
            </w:r>
          </w:p>
        </w:tc>
        <w:tc>
          <w:tcPr>
            <w:tcW w:w="685" w:type="dxa"/>
            <w:noWrap/>
            <w:vAlign w:val="center"/>
          </w:tcPr>
          <w:p w14:paraId="62A34B13">
            <w:pPr>
              <w:keepNext w:val="0"/>
              <w:keepLines w:val="0"/>
              <w:pageBreakBefore w:val="0"/>
              <w:kinsoku/>
              <w:wordWrap/>
              <w:overflowPunct/>
              <w:topLinePunct w:val="0"/>
              <w:bidi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33F1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180" w:type="dxa"/>
            <w:vMerge w:val="continue"/>
            <w:noWrap/>
            <w:vAlign w:val="center"/>
          </w:tcPr>
          <w:p w14:paraId="74C31A6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p>
        </w:tc>
        <w:tc>
          <w:tcPr>
            <w:tcW w:w="1305" w:type="dxa"/>
            <w:noWrap/>
            <w:vAlign w:val="center"/>
          </w:tcPr>
          <w:p w14:paraId="09D0ED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质保期</w:t>
            </w:r>
          </w:p>
          <w:p w14:paraId="6F79CE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6089" w:type="dxa"/>
            <w:noWrap/>
            <w:vAlign w:val="center"/>
          </w:tcPr>
          <w:p w14:paraId="34611C6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满足招标文件要求者不得分，每增加一年者加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85" w:type="dxa"/>
            <w:noWrap/>
            <w:vAlign w:val="center"/>
          </w:tcPr>
          <w:p w14:paraId="0F481524">
            <w:pPr>
              <w:keepNext w:val="0"/>
              <w:keepLines w:val="0"/>
              <w:pageBreakBefore w:val="0"/>
              <w:kinsoku/>
              <w:wordWrap/>
              <w:overflowPunct/>
              <w:topLinePunct w:val="0"/>
              <w:bidi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5376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180" w:type="dxa"/>
            <w:vMerge w:val="continue"/>
            <w:noWrap/>
            <w:vAlign w:val="center"/>
          </w:tcPr>
          <w:p w14:paraId="63E22EF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p>
        </w:tc>
        <w:tc>
          <w:tcPr>
            <w:tcW w:w="1305" w:type="dxa"/>
            <w:noWrap/>
            <w:vAlign w:val="center"/>
          </w:tcPr>
          <w:p w14:paraId="6FB538F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企业实力</w:t>
            </w:r>
          </w:p>
          <w:p w14:paraId="02290AE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c>
          <w:tcPr>
            <w:tcW w:w="6089" w:type="dxa"/>
            <w:noWrap/>
            <w:vAlign w:val="center"/>
          </w:tcPr>
          <w:p w14:paraId="0432CD14">
            <w:pPr>
              <w:wordWrap w:val="0"/>
              <w:spacing w:line="400" w:lineRule="exact"/>
              <w:rPr>
                <w:rFonts w:ascii="宋体" w:hAnsi="宋体" w:cs="宋体"/>
                <w:szCs w:val="21"/>
              </w:rPr>
            </w:pPr>
            <w:r>
              <w:rPr>
                <w:rFonts w:hint="eastAsia" w:ascii="宋体" w:hAnsi="宋体" w:cs="宋体"/>
                <w:szCs w:val="21"/>
              </w:rPr>
              <w:t>1、投标人具有一定的产品质量和服务能力，提供以下证书：ISO20000信息技术服务管理体系证书、ISO27001信息安全管理体系证书、DCMM数据管理能力成熟度等级证书、CMMI软件成熟度证书、CS信息系统建设和服务能力等级证书。</w:t>
            </w:r>
          </w:p>
          <w:p w14:paraId="6439AC35">
            <w:pPr>
              <w:wordWrap w:val="0"/>
              <w:spacing w:line="400" w:lineRule="exact"/>
              <w:rPr>
                <w:rFonts w:hint="eastAsia"/>
                <w:lang w:val="zh-CN"/>
              </w:rPr>
            </w:pPr>
            <w:r>
              <w:rPr>
                <w:rFonts w:hint="eastAsia" w:ascii="宋体" w:hAnsi="宋体" w:cs="宋体"/>
                <w:szCs w:val="21"/>
              </w:rPr>
              <w:t>全部提供且满足要求者得</w:t>
            </w:r>
            <w:r>
              <w:rPr>
                <w:rFonts w:hint="eastAsia" w:ascii="宋体" w:hAnsi="宋体" w:cs="宋体"/>
                <w:szCs w:val="21"/>
                <w:lang w:val="en-US" w:eastAsia="zh-CN"/>
              </w:rPr>
              <w:t>5</w:t>
            </w:r>
            <w:r>
              <w:rPr>
                <w:rFonts w:hint="eastAsia" w:ascii="宋体" w:hAnsi="宋体" w:cs="宋体"/>
                <w:szCs w:val="21"/>
              </w:rPr>
              <w:t>分，未按要求提供者每缺1项扣</w:t>
            </w:r>
            <w:r>
              <w:rPr>
                <w:rFonts w:ascii="宋体" w:hAnsi="宋体" w:cs="宋体"/>
                <w:szCs w:val="21"/>
              </w:rPr>
              <w:t>1</w:t>
            </w:r>
            <w:r>
              <w:rPr>
                <w:rFonts w:hint="eastAsia" w:ascii="宋体" w:hAnsi="宋体" w:cs="宋体"/>
                <w:szCs w:val="21"/>
              </w:rPr>
              <w:t>分，扣完为止，投标文件内提供证书复印件并加盖供应商公章。</w:t>
            </w:r>
          </w:p>
        </w:tc>
        <w:tc>
          <w:tcPr>
            <w:tcW w:w="685" w:type="dxa"/>
            <w:noWrap/>
            <w:vAlign w:val="center"/>
          </w:tcPr>
          <w:p w14:paraId="42C600C7">
            <w:pPr>
              <w:keepNext w:val="0"/>
              <w:keepLines w:val="0"/>
              <w:pageBreakBefore w:val="0"/>
              <w:kinsoku/>
              <w:wordWrap/>
              <w:overflowPunct/>
              <w:topLinePunct w:val="0"/>
              <w:bidi w:val="0"/>
              <w:spacing w:line="400" w:lineRule="exact"/>
              <w:ind w:firstLine="210" w:firstLineChars="1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54D0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noWrap/>
            <w:vAlign w:val="center"/>
          </w:tcPr>
          <w:p w14:paraId="704E99F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p>
        </w:tc>
        <w:tc>
          <w:tcPr>
            <w:tcW w:w="1305" w:type="dxa"/>
            <w:noWrap/>
            <w:vAlign w:val="center"/>
          </w:tcPr>
          <w:p w14:paraId="70925DB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三体系认证（3分）</w:t>
            </w:r>
          </w:p>
        </w:tc>
        <w:tc>
          <w:tcPr>
            <w:tcW w:w="6089" w:type="dxa"/>
            <w:noWrap/>
            <w:vAlign w:val="center"/>
          </w:tcPr>
          <w:p w14:paraId="70489F2F">
            <w:pPr>
              <w:wordWrap w:val="0"/>
              <w:spacing w:line="400" w:lineRule="exact"/>
              <w:rPr>
                <w:rFonts w:hint="eastAsia" w:ascii="宋体" w:hAnsi="宋体" w:cs="宋体"/>
                <w:szCs w:val="21"/>
              </w:rPr>
            </w:pPr>
            <w:r>
              <w:rPr>
                <w:rFonts w:hint="eastAsia" w:ascii="宋体" w:hAnsi="宋体" w:cs="宋体"/>
                <w:szCs w:val="21"/>
                <w:lang w:val="en-US" w:eastAsia="zh-CN"/>
              </w:rPr>
              <w:t>投标人具有质量管理体系认证证书、职业健康安全管理体系认证证书、环境管理体系认证证书得3分，每提供一项得1分，没有不得分。</w:t>
            </w:r>
          </w:p>
        </w:tc>
        <w:tc>
          <w:tcPr>
            <w:tcW w:w="685" w:type="dxa"/>
            <w:noWrap/>
            <w:vAlign w:val="center"/>
          </w:tcPr>
          <w:p w14:paraId="0CC0779E">
            <w:pPr>
              <w:keepNext w:val="0"/>
              <w:keepLines w:val="0"/>
              <w:pageBreakBefore w:val="0"/>
              <w:kinsoku/>
              <w:wordWrap/>
              <w:overflowPunct/>
              <w:topLinePunct w:val="0"/>
              <w:bidi w:val="0"/>
              <w:spacing w:line="400" w:lineRule="exact"/>
              <w:ind w:firstLine="210" w:firstLineChars="1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8ED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noWrap/>
            <w:vAlign w:val="center"/>
          </w:tcPr>
          <w:p w14:paraId="04025AA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p>
        </w:tc>
        <w:tc>
          <w:tcPr>
            <w:tcW w:w="1305" w:type="dxa"/>
            <w:noWrap/>
            <w:vAlign w:val="center"/>
          </w:tcPr>
          <w:p w14:paraId="5D6A9C9B">
            <w:pPr>
              <w:keepNext w:val="0"/>
              <w:keepLines w:val="0"/>
              <w:pageBreakBefore w:val="0"/>
              <w:tabs>
                <w:tab w:val="left" w:pos="32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合理化建议</w:t>
            </w:r>
          </w:p>
          <w:p w14:paraId="2C501043">
            <w:pPr>
              <w:keepNext w:val="0"/>
              <w:keepLines w:val="0"/>
              <w:pageBreakBefore w:val="0"/>
              <w:tabs>
                <w:tab w:val="left" w:pos="320"/>
              </w:tabs>
              <w:kinsoku/>
              <w:wordWrap/>
              <w:overflowPunct/>
              <w:topLinePunct w:val="0"/>
              <w:autoSpaceDE/>
              <w:autoSpaceDN/>
              <w:bidi w:val="0"/>
              <w:adjustRightInd/>
              <w:snapToGrid/>
              <w:spacing w:line="400" w:lineRule="exact"/>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（1分）</w:t>
            </w:r>
          </w:p>
        </w:tc>
        <w:tc>
          <w:tcPr>
            <w:tcW w:w="6089" w:type="dxa"/>
            <w:noWrap/>
            <w:vAlign w:val="center"/>
          </w:tcPr>
          <w:p w14:paraId="3E31967C">
            <w:pPr>
              <w:wordWrap w:val="0"/>
              <w:spacing w:line="400" w:lineRule="exact"/>
              <w:rPr>
                <w:rFonts w:hint="default" w:ascii="宋体" w:hAnsi="宋体" w:eastAsia="宋体" w:cs="宋体"/>
                <w:szCs w:val="21"/>
                <w:lang w:val="en-US" w:eastAsia="zh-CN"/>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提供具有实质性优惠承诺，对采购人有实质性作用，</w:t>
            </w:r>
            <w:r>
              <w:rPr>
                <w:rFonts w:hint="eastAsia" w:ascii="宋体" w:hAnsi="宋体" w:cs="宋体"/>
                <w:color w:val="auto"/>
                <w:szCs w:val="21"/>
                <w:highlight w:val="none"/>
                <w:lang w:val="en-US" w:eastAsia="zh-CN"/>
              </w:rPr>
              <w:t>得1</w:t>
            </w:r>
            <w:r>
              <w:rPr>
                <w:rFonts w:hint="eastAsia" w:ascii="宋体" w:hAnsi="宋体" w:cs="宋体"/>
                <w:color w:val="auto"/>
                <w:szCs w:val="21"/>
                <w:highlight w:val="none"/>
              </w:rPr>
              <w:t>分；供应商提供有优惠承诺，但对采购人不具有实质性作用，</w:t>
            </w:r>
            <w:r>
              <w:rPr>
                <w:rFonts w:hint="eastAsia" w:ascii="宋体" w:hAnsi="宋体" w:cs="宋体"/>
                <w:color w:val="auto"/>
                <w:szCs w:val="21"/>
                <w:highlight w:val="none"/>
                <w:lang w:val="en-US" w:eastAsia="zh-CN"/>
              </w:rPr>
              <w:t>得0.5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不提供不得分。</w:t>
            </w:r>
          </w:p>
        </w:tc>
        <w:tc>
          <w:tcPr>
            <w:tcW w:w="685" w:type="dxa"/>
            <w:noWrap/>
            <w:vAlign w:val="center"/>
          </w:tcPr>
          <w:p w14:paraId="73237761">
            <w:pPr>
              <w:keepNext w:val="0"/>
              <w:keepLines w:val="0"/>
              <w:pageBreakBefore w:val="0"/>
              <w:kinsoku/>
              <w:wordWrap/>
              <w:overflowPunct/>
              <w:topLinePunct w:val="0"/>
              <w:bidi w:val="0"/>
              <w:spacing w:line="400" w:lineRule="exact"/>
              <w:ind w:firstLine="210" w:firstLineChars="1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4388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180" w:type="dxa"/>
            <w:vMerge w:val="continue"/>
            <w:noWrap/>
            <w:vAlign w:val="center"/>
          </w:tcPr>
          <w:p w14:paraId="564E4FF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p>
        </w:tc>
        <w:tc>
          <w:tcPr>
            <w:tcW w:w="1305" w:type="dxa"/>
            <w:noWrap/>
            <w:vAlign w:val="center"/>
          </w:tcPr>
          <w:p w14:paraId="44984A59">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产品资质证书</w:t>
            </w:r>
          </w:p>
          <w:p w14:paraId="31F6A73A">
            <w:pPr>
              <w:spacing w:line="40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p w14:paraId="11F3ED1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highlight w:val="none"/>
                <w:lang w:val="en-US" w:eastAsia="zh-CN"/>
              </w:rPr>
            </w:pPr>
          </w:p>
        </w:tc>
        <w:tc>
          <w:tcPr>
            <w:tcW w:w="6089" w:type="dxa"/>
            <w:noWrap/>
            <w:vAlign w:val="center"/>
          </w:tcPr>
          <w:p w14:paraId="1C3AAECB">
            <w:pPr>
              <w:spacing w:line="400" w:lineRule="exact"/>
              <w:rPr>
                <w:rFonts w:hint="eastAsia" w:ascii="宋体" w:hAnsi="宋体" w:eastAsia="宋体" w:cs="宋体"/>
                <w:szCs w:val="21"/>
              </w:rPr>
            </w:pPr>
            <w:r>
              <w:rPr>
                <w:rFonts w:hint="eastAsia" w:ascii="宋体" w:hAnsi="宋体" w:eastAsia="宋体" w:cs="宋体"/>
                <w:szCs w:val="21"/>
                <w:lang w:val="zh-CN"/>
              </w:rPr>
              <w:t>1</w:t>
            </w:r>
            <w:r>
              <w:rPr>
                <w:rFonts w:hint="eastAsia" w:ascii="宋体" w:hAnsi="宋体" w:eastAsia="宋体" w:cs="宋体"/>
                <w:szCs w:val="21"/>
              </w:rPr>
              <w:t>、投标人提供计算机著作权证书，全部提供者得</w:t>
            </w:r>
            <w:r>
              <w:rPr>
                <w:rFonts w:hint="eastAsia" w:ascii="宋体" w:hAnsi="宋体" w:eastAsia="宋体" w:cs="宋体"/>
                <w:szCs w:val="21"/>
                <w:lang w:val="en-US" w:eastAsia="zh-CN"/>
              </w:rPr>
              <w:t>8</w:t>
            </w:r>
            <w:r>
              <w:rPr>
                <w:rFonts w:hint="eastAsia" w:ascii="宋体" w:hAnsi="宋体" w:eastAsia="宋体" w:cs="宋体"/>
                <w:szCs w:val="21"/>
              </w:rPr>
              <w:t>分，每缺少一份扣</w:t>
            </w:r>
            <w:r>
              <w:rPr>
                <w:rFonts w:hint="eastAsia" w:ascii="宋体" w:hAnsi="宋体" w:eastAsia="宋体" w:cs="宋体"/>
                <w:szCs w:val="21"/>
                <w:lang w:val="en-US" w:eastAsia="zh-CN"/>
              </w:rPr>
              <w:t>1</w:t>
            </w:r>
            <w:r>
              <w:rPr>
                <w:rFonts w:hint="eastAsia" w:ascii="宋体" w:hAnsi="宋体" w:eastAsia="宋体" w:cs="宋体"/>
                <w:szCs w:val="21"/>
              </w:rPr>
              <w:t>分，扣完为止。共</w:t>
            </w:r>
            <w:r>
              <w:rPr>
                <w:rFonts w:hint="eastAsia" w:ascii="宋体" w:hAnsi="宋体" w:eastAsia="宋体" w:cs="宋体"/>
                <w:szCs w:val="21"/>
                <w:lang w:val="en-US" w:eastAsia="zh-CN"/>
              </w:rPr>
              <w:t>8</w:t>
            </w:r>
            <w:r>
              <w:rPr>
                <w:rFonts w:hint="eastAsia" w:ascii="宋体" w:hAnsi="宋体" w:eastAsia="宋体" w:cs="宋体"/>
                <w:szCs w:val="21"/>
              </w:rPr>
              <w:t>分。</w:t>
            </w:r>
          </w:p>
          <w:p w14:paraId="6174C4AD">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不良事件管理类、综合预约管理类、</w:t>
            </w:r>
            <w:r>
              <w:rPr>
                <w:rFonts w:hint="eastAsia" w:ascii="宋体" w:hAnsi="宋体" w:eastAsia="宋体" w:cs="宋体"/>
                <w:szCs w:val="21"/>
              </w:rPr>
              <w:t>医院基础业务系统（HIS）类、电子发票管理系统类、</w:t>
            </w:r>
            <w:r>
              <w:rPr>
                <w:rFonts w:hint="eastAsia" w:ascii="宋体" w:hAnsi="宋体" w:eastAsia="宋体" w:cs="宋体"/>
                <w:szCs w:val="21"/>
                <w:lang w:val="en-US" w:eastAsia="zh-CN"/>
              </w:rPr>
              <w:t>临床路径管理类、</w:t>
            </w:r>
            <w:r>
              <w:rPr>
                <w:rFonts w:hint="eastAsia" w:ascii="宋体" w:hAnsi="宋体" w:eastAsia="宋体" w:cs="宋体"/>
                <w:szCs w:val="21"/>
              </w:rPr>
              <w:t>医疗业务统一权限管理系统类、数据标准化管理系统类</w:t>
            </w:r>
            <w:r>
              <w:rPr>
                <w:rFonts w:hint="eastAsia" w:ascii="宋体" w:hAnsi="宋体" w:eastAsia="宋体" w:cs="宋体"/>
                <w:szCs w:val="21"/>
                <w:lang w:eastAsia="zh-CN"/>
              </w:rPr>
              <w:t>、</w:t>
            </w:r>
            <w:r>
              <w:rPr>
                <w:rFonts w:ascii="宋体" w:hAnsi="宋体" w:eastAsia="宋体" w:cs="宋体"/>
                <w:b w:val="0"/>
                <w:bCs w:val="0"/>
                <w:color w:val="000000"/>
                <w:sz w:val="22"/>
                <w:szCs w:val="22"/>
              </w:rPr>
              <w:t>智能运维服务平台类</w:t>
            </w:r>
            <w:r>
              <w:rPr>
                <w:rFonts w:hint="eastAsia" w:ascii="宋体" w:hAnsi="宋体" w:eastAsia="宋体" w:cs="宋体"/>
                <w:szCs w:val="21"/>
                <w:lang w:eastAsia="zh-CN"/>
              </w:rPr>
              <w:t>。</w:t>
            </w:r>
          </w:p>
          <w:p w14:paraId="69EBBF80">
            <w:pPr>
              <w:spacing w:line="400" w:lineRule="exact"/>
              <w:rPr>
                <w:rFonts w:hint="eastAsia" w:ascii="宋体" w:hAnsi="宋体" w:cs="宋体"/>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cs="宋体"/>
                <w:szCs w:val="21"/>
              </w:rPr>
              <w:t>投标产品厂商</w:t>
            </w:r>
            <w:r>
              <w:rPr>
                <w:rFonts w:hint="eastAsia" w:ascii="宋体" w:hAnsi="宋体" w:eastAsia="宋体" w:cs="宋体"/>
                <w:color w:val="000000" w:themeColor="text1"/>
                <w:szCs w:val="21"/>
                <w:lang w:val="en-US" w:eastAsia="zh-CN"/>
                <w14:textFill>
                  <w14:solidFill>
                    <w14:schemeClr w14:val="tx1"/>
                  </w14:solidFill>
                </w14:textFill>
              </w:rPr>
              <w:t>提供“网络接入控制系”的</w:t>
            </w:r>
            <w:r>
              <w:rPr>
                <w:rFonts w:hint="eastAsia" w:ascii="宋体" w:hAnsi="宋体" w:eastAsia="宋体" w:cs="宋体"/>
                <w:color w:val="000000" w:themeColor="text1"/>
                <w:szCs w:val="21"/>
                <w14:textFill>
                  <w14:solidFill>
                    <w14:schemeClr w14:val="tx1"/>
                  </w14:solidFill>
                </w14:textFill>
              </w:rPr>
              <w:t>计算机信息系统安全专</w:t>
            </w:r>
            <w:r>
              <w:rPr>
                <w:rFonts w:hint="eastAsia" w:ascii="宋体" w:hAnsi="宋体" w:eastAsia="宋体" w:cs="宋体"/>
                <w:color w:val="000000" w:themeColor="text1"/>
                <w:szCs w:val="21"/>
                <w:lang w:val="en-US" w:eastAsia="zh-CN"/>
                <w14:textFill>
                  <w14:solidFill>
                    <w14:schemeClr w14:val="tx1"/>
                  </w14:solidFill>
                </w14:textFill>
              </w:rPr>
              <w:t>用</w:t>
            </w:r>
            <w:r>
              <w:rPr>
                <w:rFonts w:hint="eastAsia" w:ascii="宋体" w:hAnsi="宋体" w:eastAsia="宋体" w:cs="宋体"/>
                <w:color w:val="000000" w:themeColor="text1"/>
                <w:szCs w:val="21"/>
                <w14:textFill>
                  <w14:solidFill>
                    <w14:schemeClr w14:val="tx1"/>
                  </w14:solidFill>
                </w14:textFill>
              </w:rPr>
              <w:t>销售许可证书</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中国国家信息安全产品认证证书</w:t>
            </w:r>
            <w:r>
              <w:rPr>
                <w:rFonts w:hint="eastAsia" w:ascii="宋体" w:hAnsi="宋体" w:cs="宋体"/>
                <w:color w:val="000000" w:themeColor="text1"/>
                <w:szCs w:val="21"/>
                <w:lang w:val="en-US" w:eastAsia="zh-CN"/>
                <w14:textFill>
                  <w14:solidFill>
                    <w14:schemeClr w14:val="tx1"/>
                  </w14:solidFill>
                </w14:textFill>
              </w:rPr>
              <w:t>的，每项</w:t>
            </w:r>
            <w:r>
              <w:rPr>
                <w:rFonts w:hint="eastAsia" w:ascii="宋体" w:hAnsi="宋体" w:eastAsia="宋体" w:cs="宋体"/>
                <w:color w:val="000000" w:themeColor="text1"/>
                <w:szCs w:val="21"/>
                <w:lang w:val="en-US" w:eastAsia="zh-CN"/>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分，此项共</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分。</w:t>
            </w:r>
          </w:p>
        </w:tc>
        <w:tc>
          <w:tcPr>
            <w:tcW w:w="685" w:type="dxa"/>
            <w:noWrap/>
            <w:vAlign w:val="center"/>
          </w:tcPr>
          <w:p w14:paraId="33CFC2D1">
            <w:pPr>
              <w:keepNext w:val="0"/>
              <w:keepLines w:val="0"/>
              <w:pageBreakBefore w:val="0"/>
              <w:kinsoku/>
              <w:wordWrap/>
              <w:overflowPunct/>
              <w:topLinePunct w:val="0"/>
              <w:bidi w:val="0"/>
              <w:spacing w:line="400" w:lineRule="exact"/>
              <w:ind w:firstLine="210" w:firstLineChars="1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6DAE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180" w:type="dxa"/>
            <w:vMerge w:val="restart"/>
            <w:noWrap/>
            <w:vAlign w:val="center"/>
          </w:tcPr>
          <w:p w14:paraId="2E28736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技术部分</w:t>
            </w:r>
          </w:p>
          <w:p w14:paraId="214D635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zh-CN"/>
              </w:rPr>
              <w:t>分）</w:t>
            </w:r>
          </w:p>
        </w:tc>
        <w:tc>
          <w:tcPr>
            <w:tcW w:w="1305" w:type="dxa"/>
            <w:noWrap/>
            <w:vAlign w:val="center"/>
          </w:tcPr>
          <w:p w14:paraId="287414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技术指标响应情况</w:t>
            </w:r>
          </w:p>
          <w:p w14:paraId="6E3878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tc>
        <w:tc>
          <w:tcPr>
            <w:tcW w:w="6089" w:type="dxa"/>
            <w:noWrap/>
            <w:vAlign w:val="center"/>
          </w:tcPr>
          <w:p w14:paraId="3970F9C3">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评标委员会根据投标文件和相关证明材料对招标文件的响应情况，对照判断所投</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val="en-US" w:eastAsia="zh-CN"/>
              </w:rPr>
              <w:t>是否满足招标文件的要求；</w:t>
            </w:r>
          </w:p>
          <w:p w14:paraId="1EB88AD4">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满足招标文件要求的全部技术指标的得（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rPr>
              <w:t>每有一项</w:t>
            </w:r>
            <w:r>
              <w:rPr>
                <w:rFonts w:hint="eastAsia" w:ascii="宋体" w:hAnsi="宋体" w:eastAsia="宋体" w:cs="宋体"/>
                <w:color w:val="auto"/>
                <w:sz w:val="21"/>
                <w:szCs w:val="21"/>
                <w:highlight w:val="none"/>
                <w:lang w:val="en-US" w:eastAsia="zh-CN"/>
              </w:rPr>
              <w:t>加“</w:t>
            </w:r>
            <w:r>
              <w:rPr>
                <w:rFonts w:hint="eastAsia" w:ascii="微软雅黑" w:hAnsi="微软雅黑" w:eastAsia="微软雅黑" w:cs="微软雅黑"/>
                <w:b/>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rPr>
              <w:t>技术要求不满足在满分</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分的基础上的扣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分，每有一项</w:t>
            </w:r>
            <w:r>
              <w:rPr>
                <w:rFonts w:hint="eastAsia" w:ascii="宋体" w:hAnsi="宋体" w:eastAsia="宋体" w:cs="宋体"/>
                <w:color w:val="auto"/>
                <w:sz w:val="21"/>
                <w:szCs w:val="21"/>
                <w:highlight w:val="none"/>
                <w:lang w:val="en-US" w:eastAsia="zh-CN"/>
              </w:rPr>
              <w:t>非“</w:t>
            </w:r>
            <w:r>
              <w:rPr>
                <w:rFonts w:hint="eastAsia" w:ascii="微软雅黑" w:hAnsi="微软雅黑" w:eastAsia="微软雅黑" w:cs="微软雅黑"/>
                <w:b/>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rPr>
              <w:t>技术要求不满足在满分</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分的基础上的扣</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此项不作废标处理</w:t>
            </w:r>
            <w:r>
              <w:rPr>
                <w:rFonts w:hint="eastAsia" w:ascii="宋体" w:hAnsi="宋体" w:cs="宋体"/>
                <w:color w:val="auto"/>
                <w:sz w:val="21"/>
                <w:szCs w:val="21"/>
                <w:highlight w:val="none"/>
              </w:rPr>
              <w:t>。</w:t>
            </w:r>
          </w:p>
          <w:p w14:paraId="2DF5F49D">
            <w:pPr>
              <w:pStyle w:val="29"/>
              <w:ind w:left="0" w:leftChars="0" w:firstLine="0" w:firstLineChars="0"/>
              <w:rPr>
                <w:rFonts w:hint="default"/>
                <w:lang w:val="en-US" w:eastAsia="zh-CN"/>
              </w:rPr>
            </w:pPr>
            <w:r>
              <w:rPr>
                <w:rFonts w:hint="eastAsia" w:ascii="宋体" w:hAnsi="宋体" w:eastAsia="宋体" w:cs="宋体"/>
                <w:color w:val="auto"/>
                <w:kern w:val="2"/>
                <w:sz w:val="21"/>
                <w:szCs w:val="21"/>
                <w:highlight w:val="none"/>
                <w:lang w:val="en-US" w:eastAsia="zh-CN" w:bidi="ar-SA"/>
              </w:rPr>
              <w:t>注明：加“★”项需提供软件功能截图，不提供不得分。</w:t>
            </w:r>
          </w:p>
        </w:tc>
        <w:tc>
          <w:tcPr>
            <w:tcW w:w="685" w:type="dxa"/>
            <w:noWrap/>
            <w:vAlign w:val="center"/>
          </w:tcPr>
          <w:p w14:paraId="16DC01AA">
            <w:pPr>
              <w:keepNext w:val="0"/>
              <w:keepLines w:val="0"/>
              <w:pageBreakBefore w:val="0"/>
              <w:kinsoku/>
              <w:wordWrap/>
              <w:overflowPunct/>
              <w:topLinePunct w:val="0"/>
              <w:bidi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r>
      <w:tr w14:paraId="3C0D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80" w:type="dxa"/>
            <w:vMerge w:val="continue"/>
            <w:noWrap/>
            <w:vAlign w:val="center"/>
          </w:tcPr>
          <w:p w14:paraId="1E286F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p>
        </w:tc>
        <w:tc>
          <w:tcPr>
            <w:tcW w:w="1305" w:type="dxa"/>
            <w:noWrap/>
            <w:vAlign w:val="center"/>
          </w:tcPr>
          <w:p w14:paraId="7BBAF68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技术与实施方案</w:t>
            </w:r>
            <w:r>
              <w:rPr>
                <w:rFonts w:hint="eastAsia" w:ascii="宋体" w:hAnsi="宋体" w:cs="宋体"/>
                <w:color w:val="auto"/>
                <w:sz w:val="21"/>
                <w:szCs w:val="21"/>
                <w:highlight w:val="none"/>
                <w:lang w:val="en-US" w:eastAsia="zh-CN"/>
              </w:rPr>
              <w:t>（25分）</w:t>
            </w:r>
          </w:p>
          <w:p w14:paraId="72F43C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089" w:type="dxa"/>
            <w:noWrap/>
            <w:vAlign w:val="center"/>
          </w:tcPr>
          <w:p w14:paraId="3722DB32">
            <w:pPr>
              <w:spacing w:line="400" w:lineRule="exact"/>
            </w:pPr>
            <w:r>
              <w:rPr>
                <w:rFonts w:hint="eastAsia" w:ascii="宋体" w:hAnsi="宋体" w:cs="宋体"/>
                <w:szCs w:val="21"/>
              </w:rPr>
              <w:t>1、投标人提供完善的软件技术方案（包括但不限于：对项目理解、项目整体技术架构、技术</w:t>
            </w:r>
            <w:r>
              <w:rPr>
                <w:rFonts w:ascii="宋体" w:hAnsi="宋体" w:cs="宋体"/>
                <w:szCs w:val="21"/>
              </w:rPr>
              <w:t>标准</w:t>
            </w:r>
            <w:r>
              <w:rPr>
                <w:rFonts w:hint="eastAsia" w:ascii="宋体" w:hAnsi="宋体" w:cs="宋体"/>
                <w:szCs w:val="21"/>
              </w:rPr>
              <w:t>，</w:t>
            </w:r>
            <w:r>
              <w:rPr>
                <w:rFonts w:ascii="宋体" w:hAnsi="宋体" w:cs="宋体"/>
                <w:szCs w:val="21"/>
              </w:rPr>
              <w:t>软件的先进性</w:t>
            </w:r>
            <w:r>
              <w:rPr>
                <w:rFonts w:hint="eastAsia" w:ascii="宋体" w:hAnsi="宋体" w:cs="宋体"/>
                <w:szCs w:val="21"/>
              </w:rPr>
              <w:t>、扩展性</w:t>
            </w:r>
            <w:r>
              <w:rPr>
                <w:rFonts w:ascii="宋体" w:hAnsi="宋体" w:cs="宋体"/>
                <w:szCs w:val="21"/>
              </w:rPr>
              <w:t>等方面</w:t>
            </w:r>
            <w:r>
              <w:rPr>
                <w:rFonts w:hint="eastAsia" w:ascii="宋体" w:hAnsi="宋体" w:cs="宋体"/>
                <w:szCs w:val="21"/>
              </w:rPr>
              <w:t>阐述</w:t>
            </w:r>
            <w:r>
              <w:rPr>
                <w:rFonts w:ascii="宋体" w:hAnsi="宋体" w:cs="宋体"/>
                <w:szCs w:val="21"/>
              </w:rPr>
              <w:t>，</w:t>
            </w:r>
            <w:r>
              <w:rPr>
                <w:rFonts w:hint="eastAsia" w:ascii="宋体" w:hAnsi="宋体" w:cs="宋体"/>
                <w:szCs w:val="21"/>
              </w:rPr>
              <w:t>技术方案先进</w:t>
            </w:r>
            <w:r>
              <w:rPr>
                <w:rFonts w:ascii="宋体" w:hAnsi="宋体" w:cs="宋体"/>
                <w:szCs w:val="21"/>
              </w:rPr>
              <w:t>科学，</w:t>
            </w:r>
            <w:r>
              <w:rPr>
                <w:rFonts w:hint="eastAsia" w:ascii="宋体" w:hAnsi="宋体" w:cs="宋体"/>
                <w:szCs w:val="21"/>
              </w:rPr>
              <w:t>和</w:t>
            </w:r>
            <w:r>
              <w:rPr>
                <w:rFonts w:ascii="宋体" w:hAnsi="宋体" w:cs="宋体"/>
                <w:szCs w:val="21"/>
              </w:rPr>
              <w:t>总医院数据一致性</w:t>
            </w:r>
            <w:r>
              <w:rPr>
                <w:rFonts w:hint="eastAsia" w:ascii="宋体" w:hAnsi="宋体" w:cs="宋体"/>
                <w:szCs w:val="21"/>
              </w:rPr>
              <w:t>，思路清晰、有条理分四</w:t>
            </w:r>
            <w:r>
              <w:rPr>
                <w:rFonts w:ascii="宋体" w:hAnsi="宋体" w:cs="宋体"/>
                <w:szCs w:val="21"/>
              </w:rPr>
              <w:t>档打分。</w:t>
            </w:r>
            <w:r>
              <w:rPr>
                <w:rFonts w:hint="eastAsia" w:ascii="宋体" w:hAnsi="宋体" w:cs="宋体"/>
                <w:szCs w:val="21"/>
              </w:rPr>
              <w:t>优秀得</w:t>
            </w:r>
            <w:r>
              <w:rPr>
                <w:rFonts w:ascii="宋体" w:hAnsi="宋体" w:cs="宋体"/>
                <w:szCs w:val="21"/>
              </w:rPr>
              <w:t>10</w:t>
            </w:r>
            <w:r>
              <w:rPr>
                <w:rFonts w:hint="eastAsia" w:ascii="宋体" w:hAnsi="宋体" w:cs="宋体"/>
                <w:szCs w:val="21"/>
              </w:rPr>
              <w:t>分</w:t>
            </w:r>
            <w:r>
              <w:rPr>
                <w:rFonts w:ascii="宋体" w:hAnsi="宋体" w:cs="宋体"/>
                <w:szCs w:val="21"/>
              </w:rPr>
              <w:t>；</w:t>
            </w:r>
            <w:r>
              <w:rPr>
                <w:rFonts w:hint="eastAsia" w:ascii="宋体" w:hAnsi="宋体" w:cs="宋体"/>
                <w:szCs w:val="21"/>
              </w:rPr>
              <w:t>良好得</w:t>
            </w:r>
            <w:r>
              <w:rPr>
                <w:rFonts w:ascii="宋体" w:hAnsi="宋体" w:cs="宋体"/>
                <w:szCs w:val="21"/>
              </w:rPr>
              <w:t>7</w:t>
            </w:r>
            <w:r>
              <w:rPr>
                <w:rFonts w:hint="eastAsia" w:ascii="宋体" w:hAnsi="宋体" w:cs="宋体"/>
                <w:szCs w:val="21"/>
              </w:rPr>
              <w:t>分；中等</w:t>
            </w:r>
            <w:r>
              <w:rPr>
                <w:rFonts w:ascii="宋体" w:hAnsi="宋体" w:cs="宋体"/>
                <w:szCs w:val="21"/>
              </w:rPr>
              <w:t>得4</w:t>
            </w:r>
            <w:r>
              <w:rPr>
                <w:rFonts w:hint="eastAsia" w:ascii="宋体" w:hAnsi="宋体" w:cs="宋体"/>
                <w:szCs w:val="21"/>
              </w:rPr>
              <w:t>分</w:t>
            </w:r>
            <w:r>
              <w:rPr>
                <w:rFonts w:ascii="宋体" w:hAnsi="宋体" w:cs="宋体"/>
                <w:szCs w:val="21"/>
              </w:rPr>
              <w:t>；</w:t>
            </w:r>
            <w:r>
              <w:rPr>
                <w:rFonts w:hint="eastAsia" w:ascii="宋体" w:hAnsi="宋体" w:cs="宋体"/>
                <w:szCs w:val="21"/>
              </w:rPr>
              <w:t>差者</w:t>
            </w:r>
            <w:r>
              <w:rPr>
                <w:rFonts w:ascii="宋体" w:hAnsi="宋体" w:cs="宋体"/>
                <w:szCs w:val="21"/>
              </w:rPr>
              <w:t>得2</w:t>
            </w:r>
            <w:r>
              <w:rPr>
                <w:rFonts w:hint="eastAsia" w:ascii="宋体" w:hAnsi="宋体" w:cs="宋体"/>
                <w:szCs w:val="21"/>
              </w:rPr>
              <w:t>分</w:t>
            </w:r>
            <w:r>
              <w:rPr>
                <w:rFonts w:ascii="宋体" w:hAnsi="宋体" w:cs="宋体"/>
                <w:szCs w:val="21"/>
              </w:rPr>
              <w:t>，不提供不得分。</w:t>
            </w:r>
          </w:p>
          <w:p w14:paraId="5776404D">
            <w:pPr>
              <w:spacing w:line="400" w:lineRule="exact"/>
              <w:rPr>
                <w:rFonts w:ascii="宋体" w:hAnsi="宋体" w:cs="宋体"/>
                <w:szCs w:val="21"/>
              </w:rPr>
            </w:pPr>
            <w:r>
              <w:rPr>
                <w:rFonts w:ascii="宋体" w:hAnsi="宋体" w:cs="宋体"/>
                <w:szCs w:val="21"/>
              </w:rPr>
              <w:t>2</w:t>
            </w:r>
            <w:r>
              <w:rPr>
                <w:rFonts w:hint="eastAsia" w:ascii="宋体" w:hAnsi="宋体" w:cs="宋体"/>
                <w:szCs w:val="21"/>
              </w:rPr>
              <w:t>、投标人提供完善的项目实施方案（包括项目进度、项目实施团队、</w:t>
            </w:r>
            <w:r>
              <w:rPr>
                <w:rFonts w:ascii="宋体" w:hAnsi="宋体" w:cs="宋体"/>
                <w:szCs w:val="21"/>
              </w:rPr>
              <w:t>质量保障、</w:t>
            </w:r>
            <w:r>
              <w:rPr>
                <w:rFonts w:hint="eastAsia" w:ascii="宋体" w:hAnsi="宋体" w:cs="宋体"/>
                <w:szCs w:val="21"/>
              </w:rPr>
              <w:t>应急</w:t>
            </w:r>
            <w:r>
              <w:rPr>
                <w:rFonts w:ascii="宋体" w:hAnsi="宋体" w:cs="宋体"/>
                <w:szCs w:val="21"/>
              </w:rPr>
              <w:t>措施</w:t>
            </w:r>
            <w:r>
              <w:rPr>
                <w:rFonts w:hint="eastAsia" w:ascii="宋体" w:hAnsi="宋体" w:cs="宋体"/>
                <w:szCs w:val="21"/>
              </w:rPr>
              <w:t>等），项目实施方案切合本项目实际情况，且完整可行，实施方案思路清晰、有条理等</w:t>
            </w:r>
            <w:r>
              <w:rPr>
                <w:rFonts w:ascii="宋体" w:hAnsi="宋体" w:cs="宋体"/>
                <w:szCs w:val="21"/>
              </w:rPr>
              <w:t>分三档打分</w:t>
            </w:r>
            <w:r>
              <w:rPr>
                <w:rFonts w:hint="eastAsia" w:ascii="宋体" w:hAnsi="宋体" w:cs="宋体"/>
                <w:szCs w:val="21"/>
              </w:rPr>
              <w:t>。优良得</w:t>
            </w:r>
            <w:r>
              <w:rPr>
                <w:rFonts w:ascii="宋体" w:hAnsi="宋体" w:cs="宋体"/>
                <w:szCs w:val="21"/>
              </w:rPr>
              <w:t>8</w:t>
            </w:r>
            <w:r>
              <w:rPr>
                <w:rFonts w:hint="eastAsia" w:ascii="宋体" w:hAnsi="宋体" w:cs="宋体"/>
                <w:szCs w:val="21"/>
              </w:rPr>
              <w:t>分</w:t>
            </w:r>
            <w:r>
              <w:rPr>
                <w:rFonts w:ascii="宋体" w:hAnsi="宋体" w:cs="宋体"/>
                <w:szCs w:val="21"/>
              </w:rPr>
              <w:t>；</w:t>
            </w:r>
            <w:r>
              <w:rPr>
                <w:rFonts w:hint="eastAsia" w:ascii="宋体" w:hAnsi="宋体" w:cs="宋体"/>
                <w:szCs w:val="21"/>
              </w:rPr>
              <w:t>良好得</w:t>
            </w:r>
            <w:r>
              <w:rPr>
                <w:rFonts w:ascii="宋体" w:hAnsi="宋体" w:cs="宋体"/>
                <w:szCs w:val="21"/>
              </w:rPr>
              <w:t>6</w:t>
            </w:r>
            <w:r>
              <w:rPr>
                <w:rFonts w:hint="eastAsia" w:ascii="宋体" w:hAnsi="宋体" w:cs="宋体"/>
                <w:szCs w:val="21"/>
              </w:rPr>
              <w:t>分；一般得</w:t>
            </w:r>
            <w:r>
              <w:rPr>
                <w:rFonts w:ascii="宋体" w:hAnsi="宋体" w:cs="宋体"/>
                <w:szCs w:val="21"/>
              </w:rPr>
              <w:t>4</w:t>
            </w:r>
            <w:r>
              <w:rPr>
                <w:rFonts w:hint="eastAsia" w:ascii="宋体" w:hAnsi="宋体" w:cs="宋体"/>
                <w:szCs w:val="21"/>
              </w:rPr>
              <w:t>分</w:t>
            </w:r>
            <w:r>
              <w:rPr>
                <w:rFonts w:ascii="宋体" w:hAnsi="宋体" w:cs="宋体"/>
                <w:szCs w:val="21"/>
              </w:rPr>
              <w:t>；</w:t>
            </w:r>
            <w:r>
              <w:rPr>
                <w:rFonts w:hint="eastAsia" w:ascii="宋体" w:hAnsi="宋体" w:cs="宋体"/>
                <w:szCs w:val="21"/>
              </w:rPr>
              <w:t>差者</w:t>
            </w:r>
            <w:r>
              <w:rPr>
                <w:rFonts w:ascii="宋体" w:hAnsi="宋体" w:cs="宋体"/>
                <w:szCs w:val="21"/>
              </w:rPr>
              <w:t>得2</w:t>
            </w:r>
            <w:r>
              <w:rPr>
                <w:rFonts w:hint="eastAsia" w:ascii="宋体" w:hAnsi="宋体" w:cs="宋体"/>
                <w:szCs w:val="21"/>
              </w:rPr>
              <w:t>分；不提供的不得分。</w:t>
            </w:r>
          </w:p>
          <w:p w14:paraId="36995D59">
            <w:pPr>
              <w:spacing w:line="400" w:lineRule="exact"/>
              <w:rPr>
                <w:rFonts w:ascii="宋体" w:hAnsi="宋体" w:cs="宋体"/>
                <w:szCs w:val="21"/>
              </w:rPr>
            </w:pPr>
            <w:r>
              <w:rPr>
                <w:rFonts w:hint="eastAsia" w:ascii="宋体" w:hAnsi="宋体" w:cs="宋体"/>
                <w:szCs w:val="21"/>
              </w:rPr>
              <w:t>3、投标人提供两院区信息系统一体化</w:t>
            </w:r>
            <w:r>
              <w:rPr>
                <w:rFonts w:ascii="宋体" w:hAnsi="宋体" w:cs="宋体"/>
                <w:szCs w:val="21"/>
              </w:rPr>
              <w:t>应用</w:t>
            </w:r>
            <w:r>
              <w:rPr>
                <w:rFonts w:hint="eastAsia" w:ascii="宋体" w:hAnsi="宋体" w:cs="宋体"/>
                <w:szCs w:val="21"/>
              </w:rPr>
              <w:t>和数据互联互通、</w:t>
            </w:r>
            <w:r>
              <w:rPr>
                <w:rFonts w:ascii="宋体" w:hAnsi="宋体" w:cs="宋体"/>
                <w:szCs w:val="21"/>
              </w:rPr>
              <w:t>财务独立核算的</w:t>
            </w:r>
            <w:r>
              <w:rPr>
                <w:rFonts w:hint="eastAsia" w:ascii="宋体" w:hAnsi="宋体" w:cs="宋体"/>
                <w:szCs w:val="21"/>
              </w:rPr>
              <w:t>技术方案，根据技术方案先进性</w:t>
            </w:r>
            <w:r>
              <w:rPr>
                <w:rFonts w:ascii="宋体" w:hAnsi="宋体" w:cs="宋体"/>
                <w:szCs w:val="21"/>
              </w:rPr>
              <w:t>、科学</w:t>
            </w:r>
            <w:r>
              <w:rPr>
                <w:rFonts w:hint="eastAsia" w:ascii="宋体" w:hAnsi="宋体" w:cs="宋体"/>
                <w:szCs w:val="21"/>
              </w:rPr>
              <w:t>性</w:t>
            </w:r>
            <w:r>
              <w:rPr>
                <w:rFonts w:ascii="宋体" w:hAnsi="宋体" w:cs="宋体"/>
                <w:szCs w:val="21"/>
              </w:rPr>
              <w:t>、合理性，</w:t>
            </w:r>
            <w:r>
              <w:rPr>
                <w:rFonts w:hint="eastAsia" w:ascii="宋体" w:hAnsi="宋体" w:cs="宋体"/>
                <w:szCs w:val="21"/>
              </w:rPr>
              <w:t>分三</w:t>
            </w:r>
            <w:r>
              <w:rPr>
                <w:rFonts w:ascii="宋体" w:hAnsi="宋体" w:cs="宋体"/>
                <w:szCs w:val="21"/>
              </w:rPr>
              <w:t>档打分。</w:t>
            </w:r>
            <w:r>
              <w:rPr>
                <w:rFonts w:hint="eastAsia" w:ascii="宋体" w:hAnsi="宋体" w:cs="宋体"/>
                <w:szCs w:val="21"/>
              </w:rPr>
              <w:t>优良得</w:t>
            </w:r>
            <w:r>
              <w:rPr>
                <w:rFonts w:ascii="宋体" w:hAnsi="宋体" w:cs="宋体"/>
                <w:szCs w:val="21"/>
              </w:rPr>
              <w:t>5</w:t>
            </w:r>
            <w:r>
              <w:rPr>
                <w:rFonts w:hint="eastAsia" w:ascii="宋体" w:hAnsi="宋体" w:cs="宋体"/>
                <w:szCs w:val="21"/>
              </w:rPr>
              <w:t>分</w:t>
            </w:r>
            <w:r>
              <w:rPr>
                <w:rFonts w:ascii="宋体" w:hAnsi="宋体" w:cs="宋体"/>
                <w:szCs w:val="21"/>
              </w:rPr>
              <w:t>；</w:t>
            </w:r>
            <w:r>
              <w:rPr>
                <w:rFonts w:hint="eastAsia" w:ascii="宋体" w:hAnsi="宋体" w:cs="宋体"/>
                <w:szCs w:val="21"/>
              </w:rPr>
              <w:t>一般得2分；差者</w:t>
            </w:r>
            <w:r>
              <w:rPr>
                <w:rFonts w:ascii="宋体" w:hAnsi="宋体" w:cs="宋体"/>
                <w:szCs w:val="21"/>
              </w:rPr>
              <w:t>得1</w:t>
            </w:r>
            <w:r>
              <w:rPr>
                <w:rFonts w:hint="eastAsia" w:ascii="宋体" w:hAnsi="宋体" w:cs="宋体"/>
                <w:szCs w:val="21"/>
              </w:rPr>
              <w:t>分</w:t>
            </w:r>
            <w:r>
              <w:rPr>
                <w:rFonts w:ascii="宋体" w:hAnsi="宋体" w:cs="宋体"/>
                <w:szCs w:val="21"/>
              </w:rPr>
              <w:t>，不提供不得分。</w:t>
            </w:r>
          </w:p>
          <w:p w14:paraId="3B19CC35">
            <w:pPr>
              <w:spacing w:line="400" w:lineRule="exact"/>
              <w:rPr>
                <w:rFonts w:ascii="宋体" w:hAnsi="宋体" w:cs="宋体"/>
                <w:szCs w:val="21"/>
              </w:rPr>
            </w:pPr>
            <w:r>
              <w:t>4</w:t>
            </w:r>
            <w:r>
              <w:rPr>
                <w:rFonts w:hint="eastAsia"/>
              </w:rPr>
              <w:t>、</w:t>
            </w:r>
            <w:r>
              <w:rPr>
                <w:rFonts w:hint="eastAsia" w:ascii="宋体" w:hAnsi="宋体" w:cs="宋体"/>
                <w:szCs w:val="21"/>
              </w:rPr>
              <w:t>技术人员能力：投标人拟派项目团队人员具有人社部、工信部颁发的信息系统项目管理师</w:t>
            </w:r>
            <w:r>
              <w:rPr>
                <w:rFonts w:hint="eastAsia" w:ascii="宋体" w:hAnsi="宋体" w:cs="宋体"/>
                <w:szCs w:val="21"/>
                <w:lang w:eastAsia="zh-CN"/>
              </w:rPr>
              <w:t>（</w:t>
            </w:r>
            <w:r>
              <w:rPr>
                <w:rFonts w:hint="eastAsia" w:ascii="宋体" w:hAnsi="宋体" w:cs="宋体"/>
                <w:szCs w:val="21"/>
                <w:lang w:val="en-US" w:eastAsia="zh-CN"/>
              </w:rPr>
              <w:t>高级</w:t>
            </w:r>
            <w:r>
              <w:rPr>
                <w:rFonts w:hint="eastAsia" w:ascii="宋体" w:hAnsi="宋体" w:cs="宋体"/>
                <w:szCs w:val="21"/>
                <w:lang w:eastAsia="zh-CN"/>
              </w:rPr>
              <w:t>）</w:t>
            </w:r>
            <w:r>
              <w:rPr>
                <w:rFonts w:hint="eastAsia" w:ascii="宋体" w:hAnsi="宋体" w:cs="宋体"/>
                <w:szCs w:val="21"/>
              </w:rPr>
              <w:t>1人(含)以上得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 xml:space="preserve"> </w:t>
            </w:r>
          </w:p>
          <w:p w14:paraId="52F76330">
            <w:pPr>
              <w:spacing w:line="400" w:lineRule="exact"/>
              <w:rPr>
                <w:rFonts w:ascii="宋体" w:hAnsi="宋体" w:cs="宋体"/>
                <w:szCs w:val="21"/>
              </w:rPr>
            </w:pPr>
            <w:r>
              <w:rPr>
                <w:rFonts w:hint="eastAsia" w:ascii="宋体" w:hAnsi="宋体" w:cs="宋体"/>
                <w:szCs w:val="21"/>
              </w:rPr>
              <w:t>拟派项目团队人员具有人社部门颁发的软件评测师</w:t>
            </w:r>
            <w:r>
              <w:rPr>
                <w:rFonts w:ascii="宋体" w:hAnsi="宋体" w:cs="宋体"/>
                <w:szCs w:val="21"/>
              </w:rPr>
              <w:t>1</w:t>
            </w:r>
            <w:r>
              <w:rPr>
                <w:rFonts w:hint="eastAsia" w:ascii="宋体" w:hAnsi="宋体" w:cs="宋体"/>
                <w:szCs w:val="21"/>
              </w:rPr>
              <w:t>人(含)以上得</w:t>
            </w:r>
            <w:r>
              <w:rPr>
                <w:rFonts w:ascii="宋体" w:hAnsi="宋体" w:cs="宋体"/>
                <w:szCs w:val="21"/>
              </w:rPr>
              <w:t>1</w:t>
            </w:r>
            <w:r>
              <w:rPr>
                <w:rFonts w:hint="eastAsia" w:ascii="宋体" w:hAnsi="宋体" w:cs="宋体"/>
                <w:szCs w:val="21"/>
              </w:rPr>
              <w:t>分。</w:t>
            </w:r>
          </w:p>
          <w:p w14:paraId="4A8F99D3">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cs="宋体"/>
                <w:szCs w:val="21"/>
              </w:rPr>
              <w:t>（需提供</w:t>
            </w:r>
            <w:r>
              <w:rPr>
                <w:rFonts w:hint="eastAsia" w:ascii="宋体" w:hAnsi="宋体" w:cs="宋体"/>
                <w:szCs w:val="21"/>
                <w:lang w:val="en-US" w:eastAsia="zh-CN"/>
              </w:rPr>
              <w:t>2024年近六</w:t>
            </w:r>
            <w:r>
              <w:rPr>
                <w:rFonts w:hint="eastAsia" w:ascii="宋体" w:hAnsi="宋体" w:cs="宋体"/>
                <w:szCs w:val="21"/>
              </w:rPr>
              <w:t>个月</w:t>
            </w:r>
            <w:r>
              <w:rPr>
                <w:rFonts w:hint="eastAsia" w:ascii="宋体" w:hAnsi="宋体" w:cs="宋体"/>
                <w:szCs w:val="21"/>
                <w:lang w:val="en-US" w:eastAsia="zh-CN"/>
              </w:rPr>
              <w:t>任意一个月</w:t>
            </w:r>
            <w:r>
              <w:rPr>
                <w:rFonts w:hint="eastAsia" w:ascii="宋体" w:hAnsi="宋体" w:cs="宋体"/>
                <w:szCs w:val="21"/>
              </w:rPr>
              <w:t>缴纳社保证明</w:t>
            </w:r>
            <w:r>
              <w:rPr>
                <w:rFonts w:hint="eastAsia" w:ascii="宋体" w:hAnsi="宋体" w:cs="宋体"/>
                <w:szCs w:val="21"/>
                <w:lang w:val="en-US" w:eastAsia="zh-CN"/>
              </w:rPr>
              <w:t>以及劳动合同</w:t>
            </w:r>
            <w:r>
              <w:rPr>
                <w:rFonts w:hint="eastAsia" w:ascii="宋体" w:hAnsi="宋体" w:cs="宋体"/>
                <w:szCs w:val="21"/>
              </w:rPr>
              <w:t>。同一人员具有多个证书的，不重复计分。）</w:t>
            </w:r>
          </w:p>
        </w:tc>
        <w:tc>
          <w:tcPr>
            <w:tcW w:w="685" w:type="dxa"/>
            <w:noWrap/>
            <w:vAlign w:val="center"/>
          </w:tcPr>
          <w:p w14:paraId="12DA6157">
            <w:pPr>
              <w:keepNext w:val="0"/>
              <w:keepLines w:val="0"/>
              <w:pageBreakBefore w:val="0"/>
              <w:kinsoku/>
              <w:wordWrap/>
              <w:overflowPunct/>
              <w:topLinePunct w:val="0"/>
              <w:bidi w:val="0"/>
              <w:spacing w:line="40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r>
      <w:tr w14:paraId="3B09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1180" w:type="dxa"/>
            <w:vMerge w:val="continue"/>
            <w:noWrap/>
            <w:vAlign w:val="center"/>
          </w:tcPr>
          <w:p w14:paraId="44FC74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zh-CN"/>
              </w:rPr>
            </w:pPr>
          </w:p>
        </w:tc>
        <w:tc>
          <w:tcPr>
            <w:tcW w:w="1305" w:type="dxa"/>
            <w:shd w:val="clear" w:color="auto" w:fill="auto"/>
            <w:noWrap/>
            <w:vAlign w:val="center"/>
          </w:tcPr>
          <w:p w14:paraId="5D786C07">
            <w:pPr>
              <w:spacing w:line="276" w:lineRule="auto"/>
              <w:jc w:val="center"/>
              <w:textAlignment w:val="center"/>
              <w:rPr>
                <w:rFonts w:ascii="宋体" w:hAnsi="宋体" w:cs="宋体"/>
                <w:szCs w:val="21"/>
              </w:rPr>
            </w:pPr>
            <w:r>
              <w:rPr>
                <w:rFonts w:hint="eastAsia" w:ascii="宋体" w:hAnsi="宋体" w:cs="宋体"/>
                <w:szCs w:val="21"/>
              </w:rPr>
              <w:t>售后服务</w:t>
            </w:r>
          </w:p>
          <w:p w14:paraId="643FBBCC">
            <w:pPr>
              <w:spacing w:line="276" w:lineRule="auto"/>
              <w:jc w:val="center"/>
              <w:textAlignment w:val="center"/>
              <w:rPr>
                <w:rFonts w:ascii="宋体" w:hAnsi="宋体" w:cs="宋体"/>
                <w:szCs w:val="21"/>
              </w:rPr>
            </w:pPr>
            <w:r>
              <w:rPr>
                <w:rFonts w:hint="eastAsia" w:ascii="宋体" w:hAnsi="宋体" w:cs="宋体"/>
                <w:szCs w:val="21"/>
              </w:rPr>
              <w:t>方案</w:t>
            </w:r>
          </w:p>
          <w:p w14:paraId="58E9DA3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rPr>
              <w:t>（</w:t>
            </w:r>
            <w:r>
              <w:rPr>
                <w:rFonts w:ascii="宋体" w:hAnsi="宋体" w:cs="宋体"/>
                <w:szCs w:val="21"/>
              </w:rPr>
              <w:t>5</w:t>
            </w:r>
            <w:r>
              <w:rPr>
                <w:rFonts w:hint="eastAsia" w:ascii="宋体" w:hAnsi="宋体" w:cs="宋体"/>
                <w:szCs w:val="21"/>
              </w:rPr>
              <w:t>分）</w:t>
            </w:r>
          </w:p>
        </w:tc>
        <w:tc>
          <w:tcPr>
            <w:tcW w:w="6089" w:type="dxa"/>
            <w:shd w:val="clear" w:color="auto" w:fill="auto"/>
            <w:noWrap/>
            <w:vAlign w:val="center"/>
          </w:tcPr>
          <w:p w14:paraId="65C1B24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rPr>
              <w:t>投标人提供完善售后服务方案</w:t>
            </w:r>
            <w:r>
              <w:rPr>
                <w:rFonts w:hint="eastAsia" w:ascii="宋体" w:hAnsi="宋体" w:cs="宋体"/>
                <w:szCs w:val="21"/>
                <w:lang w:eastAsia="zh-CN"/>
              </w:rPr>
              <w:t>：</w:t>
            </w:r>
            <w:r>
              <w:rPr>
                <w:rFonts w:hint="eastAsia" w:ascii="宋体" w:hAnsi="宋体" w:cs="宋体"/>
                <w:szCs w:val="21"/>
              </w:rPr>
              <w:t>服务内容包括电子</w:t>
            </w:r>
            <w:r>
              <w:rPr>
                <w:rFonts w:ascii="宋体" w:hAnsi="宋体" w:cs="宋体"/>
                <w:szCs w:val="21"/>
              </w:rPr>
              <w:t>病历</w:t>
            </w:r>
            <w:r>
              <w:rPr>
                <w:rFonts w:hint="eastAsia" w:ascii="宋体" w:hAnsi="宋体" w:cs="宋体"/>
                <w:szCs w:val="21"/>
              </w:rPr>
              <w:t>分级</w:t>
            </w:r>
            <w:r>
              <w:rPr>
                <w:rFonts w:ascii="宋体" w:hAnsi="宋体" w:cs="宋体"/>
                <w:szCs w:val="21"/>
              </w:rPr>
              <w:t>评审支持服务</w:t>
            </w:r>
            <w:r>
              <w:rPr>
                <w:rFonts w:hint="eastAsia" w:ascii="宋体" w:hAnsi="宋体" w:cs="宋体"/>
                <w:szCs w:val="21"/>
              </w:rPr>
              <w:t>、人员培训、响应</w:t>
            </w:r>
            <w:r>
              <w:rPr>
                <w:rFonts w:ascii="宋体" w:hAnsi="宋体" w:cs="宋体"/>
                <w:szCs w:val="21"/>
              </w:rPr>
              <w:t>时间、</w:t>
            </w:r>
            <w:r>
              <w:rPr>
                <w:rFonts w:hint="eastAsia" w:ascii="宋体" w:hAnsi="宋体" w:cs="宋体"/>
                <w:szCs w:val="21"/>
              </w:rPr>
              <w:t>免费服务期限及免费期过后收费标准等），方案切合本项目实际情况，且完整可行，思路清晰、有条理分</w:t>
            </w:r>
            <w:r>
              <w:rPr>
                <w:rFonts w:ascii="宋体" w:hAnsi="宋体" w:cs="宋体"/>
                <w:szCs w:val="21"/>
              </w:rPr>
              <w:t>三档打分。</w:t>
            </w:r>
            <w:r>
              <w:rPr>
                <w:rFonts w:hint="eastAsia" w:ascii="宋体" w:hAnsi="宋体" w:cs="宋体"/>
                <w:szCs w:val="21"/>
              </w:rPr>
              <w:t>优良得</w:t>
            </w:r>
            <w:r>
              <w:rPr>
                <w:rFonts w:ascii="宋体" w:hAnsi="宋体" w:cs="宋体"/>
                <w:szCs w:val="21"/>
              </w:rPr>
              <w:t>5</w:t>
            </w:r>
            <w:r>
              <w:rPr>
                <w:rFonts w:hint="eastAsia" w:ascii="宋体" w:hAnsi="宋体" w:cs="宋体"/>
                <w:szCs w:val="21"/>
              </w:rPr>
              <w:t>分</w:t>
            </w:r>
            <w:r>
              <w:rPr>
                <w:rFonts w:ascii="宋体" w:hAnsi="宋体" w:cs="宋体"/>
                <w:szCs w:val="21"/>
              </w:rPr>
              <w:t>；</w:t>
            </w:r>
            <w:r>
              <w:rPr>
                <w:rFonts w:hint="eastAsia" w:ascii="宋体" w:hAnsi="宋体" w:cs="宋体"/>
                <w:szCs w:val="21"/>
              </w:rPr>
              <w:t>良好得</w:t>
            </w:r>
            <w:r>
              <w:rPr>
                <w:rFonts w:ascii="宋体" w:hAnsi="宋体" w:cs="宋体"/>
                <w:szCs w:val="21"/>
              </w:rPr>
              <w:t>3</w:t>
            </w:r>
            <w:r>
              <w:rPr>
                <w:rFonts w:hint="eastAsia" w:ascii="宋体" w:hAnsi="宋体" w:cs="宋体"/>
                <w:szCs w:val="21"/>
              </w:rPr>
              <w:t>分；一般得</w:t>
            </w:r>
            <w:r>
              <w:rPr>
                <w:rFonts w:ascii="宋体" w:hAnsi="宋体" w:cs="宋体"/>
                <w:szCs w:val="21"/>
              </w:rPr>
              <w:t>1</w:t>
            </w:r>
            <w:r>
              <w:rPr>
                <w:rFonts w:hint="eastAsia" w:ascii="宋体" w:hAnsi="宋体" w:cs="宋体"/>
                <w:szCs w:val="21"/>
              </w:rPr>
              <w:t>分</w:t>
            </w:r>
            <w:r>
              <w:rPr>
                <w:rFonts w:ascii="宋体" w:hAnsi="宋体" w:cs="宋体"/>
                <w:szCs w:val="21"/>
              </w:rPr>
              <w:t>；</w:t>
            </w:r>
            <w:r>
              <w:rPr>
                <w:rFonts w:hint="eastAsia" w:ascii="宋体" w:hAnsi="宋体" w:cs="宋体"/>
                <w:szCs w:val="21"/>
              </w:rPr>
              <w:t>不提供的不得分。</w:t>
            </w:r>
          </w:p>
        </w:tc>
        <w:tc>
          <w:tcPr>
            <w:tcW w:w="685" w:type="dxa"/>
            <w:noWrap/>
            <w:vAlign w:val="center"/>
          </w:tcPr>
          <w:p w14:paraId="5576127E">
            <w:pPr>
              <w:keepNext w:val="0"/>
              <w:keepLines w:val="0"/>
              <w:pageBreakBefore w:val="0"/>
              <w:kinsoku/>
              <w:wordWrap/>
              <w:overflowPunct/>
              <w:topLinePunct w:val="0"/>
              <w:bidi w:val="0"/>
              <w:spacing w:line="400" w:lineRule="exact"/>
              <w:ind w:firstLine="210" w:firstLineChars="1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bl>
    <w:p w14:paraId="4E055117">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54E6487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1、评标时，评标委员会各成员应当独立对每个有效供应商的投标文件进行评价、打分，然后汇总每个供应商每项评分因素的得分，取各评委评分的算术平均数作为供应商的评标最后得分。</w:t>
      </w:r>
    </w:p>
    <w:p w14:paraId="0D81657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将按照评标最后得分由高到低的顺序对所有投标文件实质上响应招标文件要求的供应商进行排序；得分相同的，按投标报价由低到高顺序排列；得分和投标报价均相同的，按技术指标优劣（技术及服务部分得分由高到低）顺序排列。</w:t>
      </w:r>
      <w:bookmarkEnd w:id="139"/>
      <w:bookmarkEnd w:id="140"/>
      <w:bookmarkEnd w:id="141"/>
      <w:bookmarkStart w:id="142" w:name="_Toc27259"/>
    </w:p>
    <w:p w14:paraId="00A3DB6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、评标委员会评审时，投标人或其投标文件出现下列情况之一者，应为无效投标：</w:t>
      </w:r>
    </w:p>
    <w:p w14:paraId="186F910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投标人不具备招标文件规定的资格要求的；</w:t>
      </w:r>
    </w:p>
    <w:p w14:paraId="689B36A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 投标人投标文件制作机器码一致的； </w:t>
      </w:r>
    </w:p>
    <w:p w14:paraId="43E08B8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投标文件未按照招标文件要求由投标人法定代表人或授权代表签字或盖章的；</w:t>
      </w:r>
    </w:p>
    <w:p w14:paraId="0F3C55A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 投标文件出现多个投标方案或投标报价的；</w:t>
      </w:r>
    </w:p>
    <w:p w14:paraId="4B25913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 投标有效期、服务期等商务条款不能满足招标文件要求的； </w:t>
      </w:r>
    </w:p>
    <w:p w14:paraId="5B9DA67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 投标文件附有采购人不能接受的条件的。 </w:t>
      </w:r>
    </w:p>
    <w:p w14:paraId="775E4C3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 xml:space="preserve">、废标条款 </w:t>
      </w:r>
    </w:p>
    <w:p w14:paraId="06D44DC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评标委员会评审时出现以下情况之一的，应予废标： </w:t>
      </w:r>
    </w:p>
    <w:p w14:paraId="77391DD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（一）符合专业条件的供应商或者对招标文件作实质响应的供应商不足三家的。 </w:t>
      </w:r>
    </w:p>
    <w:p w14:paraId="40DD7DD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（二）投标人的报价超过了采购预算,采购人不能支付的。 </w:t>
      </w:r>
    </w:p>
    <w:p w14:paraId="75470F1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（三）出现影响采购公正的违法、违规行为的。 </w:t>
      </w:r>
    </w:p>
    <w:p w14:paraId="6E4061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（四）因重大变故，采购任务取消的。 </w:t>
      </w:r>
    </w:p>
    <w:p w14:paraId="76FFF9E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废标后，除采购任务取消情形外，应当重新组织采购。</w:t>
      </w:r>
    </w:p>
    <w:p w14:paraId="1E891EEB">
      <w:pPr>
        <w:spacing w:line="400" w:lineRule="exact"/>
        <w:ind w:firstLine="643" w:firstLineChars="200"/>
        <w:jc w:val="left"/>
        <w:rPr>
          <w:rFonts w:ascii="宋体" w:hAnsi="宋体"/>
          <w:b/>
          <w:color w:val="auto"/>
          <w:sz w:val="32"/>
          <w:szCs w:val="32"/>
          <w:highlight w:val="none"/>
        </w:rPr>
      </w:pPr>
      <w:r>
        <w:rPr>
          <w:rFonts w:ascii="宋体" w:hAnsi="宋体"/>
          <w:b/>
          <w:color w:val="auto"/>
          <w:sz w:val="32"/>
          <w:szCs w:val="32"/>
          <w:highlight w:val="none"/>
        </w:rPr>
        <w:br w:type="page"/>
      </w:r>
    </w:p>
    <w:p w14:paraId="3FC213A5">
      <w:pPr>
        <w:jc w:val="center"/>
        <w:outlineLvl w:val="0"/>
        <w:rPr>
          <w:rFonts w:ascii="宋体" w:hAnsi="宋体"/>
          <w:b/>
          <w:color w:val="auto"/>
          <w:sz w:val="32"/>
          <w:szCs w:val="32"/>
          <w:highlight w:val="none"/>
        </w:rPr>
      </w:pPr>
      <w:r>
        <w:rPr>
          <w:rFonts w:hint="eastAsia" w:ascii="宋体" w:hAnsi="宋体"/>
          <w:b/>
          <w:color w:val="auto"/>
          <w:sz w:val="32"/>
          <w:szCs w:val="32"/>
          <w:highlight w:val="none"/>
        </w:rPr>
        <w:t>第四章  合同条款及格式</w:t>
      </w:r>
      <w:bookmarkEnd w:id="142"/>
    </w:p>
    <w:bookmarkEnd w:id="133"/>
    <w:p w14:paraId="7173BF2C">
      <w:pPr>
        <w:pStyle w:val="10"/>
        <w:spacing w:line="360" w:lineRule="auto"/>
        <w:jc w:val="center"/>
        <w:rPr>
          <w:rFonts w:hAnsi="宋体" w:cs="宋体"/>
          <w:b/>
          <w:bCs/>
          <w:color w:val="auto"/>
          <w:sz w:val="24"/>
          <w:highlight w:val="none"/>
        </w:rPr>
      </w:pPr>
      <w:bookmarkStart w:id="143" w:name="_Toc7675"/>
      <w:r>
        <w:rPr>
          <w:rFonts w:hint="eastAsia" w:hAnsi="宋体" w:cs="宋体"/>
          <w:b/>
          <w:color w:val="auto"/>
          <w:sz w:val="24"/>
          <w:highlight w:val="none"/>
        </w:rPr>
        <w:t>采</w:t>
      </w:r>
      <w:r>
        <w:rPr>
          <w:rFonts w:hint="eastAsia" w:hAnsi="宋体" w:cs="宋体"/>
          <w:b/>
          <w:bCs/>
          <w:color w:val="auto"/>
          <w:sz w:val="24"/>
          <w:highlight w:val="none"/>
        </w:rPr>
        <w:t>购合同</w:t>
      </w:r>
      <w:r>
        <w:rPr>
          <w:rFonts w:hint="eastAsia" w:hAnsi="宋体" w:cs="宋体"/>
          <w:color w:val="auto"/>
          <w:sz w:val="24"/>
          <w:highlight w:val="none"/>
        </w:rPr>
        <w:t xml:space="preserve">                    </w:t>
      </w:r>
    </w:p>
    <w:p w14:paraId="5ADCD030">
      <w:pPr>
        <w:spacing w:line="360" w:lineRule="auto"/>
        <w:ind w:left="120" w:hanging="105" w:hanging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2B68ED18">
      <w:pPr>
        <w:spacing w:line="360" w:lineRule="auto"/>
        <w:ind w:left="120" w:hanging="105" w:hanging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                        </w:t>
      </w:r>
    </w:p>
    <w:p w14:paraId="77AE06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方：</w:t>
      </w:r>
    </w:p>
    <w:p w14:paraId="20BCA49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 货 方： </w:t>
      </w:r>
    </w:p>
    <w:p w14:paraId="461F69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双方根据政府采购有关法律法规和</w:t>
      </w:r>
      <w:r>
        <w:rPr>
          <w:rFonts w:hint="eastAsia" w:ascii="宋体" w:hAnsi="宋体" w:cs="宋体"/>
          <w:color w:val="auto"/>
          <w:sz w:val="21"/>
          <w:szCs w:val="21"/>
          <w:highlight w:val="none"/>
          <w:lang w:val="en-US" w:eastAsia="zh-CN"/>
        </w:rPr>
        <w:t>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项目招标结果，订立本采购合同。</w:t>
      </w:r>
    </w:p>
    <w:p w14:paraId="3EAFF97C">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一、合同文件</w:t>
      </w:r>
    </w:p>
    <w:p w14:paraId="16A79F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1、合同条款。</w:t>
      </w:r>
    </w:p>
    <w:p w14:paraId="28580C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w:t>
      </w:r>
    </w:p>
    <w:p w14:paraId="76DA2B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单位投标文件。</w:t>
      </w:r>
    </w:p>
    <w:p w14:paraId="02D6B6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w:t>
      </w:r>
    </w:p>
    <w:p w14:paraId="53E9B9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w:t>
      </w:r>
    </w:p>
    <w:p w14:paraId="275E16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上述所指合同文件应认为是互相补充和解释的，但是有模棱两可或互相矛盾之处，以其所列内容顺序为准。</w:t>
      </w:r>
    </w:p>
    <w:p w14:paraId="60F115E9">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二、合同金额</w:t>
      </w:r>
    </w:p>
    <w:p w14:paraId="38970B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包括货物(服务、软件)报价和标准附件、备品备件、专用工具、运输、装卸、保险、检测、验收合格、售后服务、维护所需的各种费用及必要的保险费用和各项税金等一切费用。金额为(大写)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(以上价款以人民币进行结算)</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14:paraId="5CF7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Pr>
          <w:p w14:paraId="6E1B59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1704" w:type="dxa"/>
          </w:tcPr>
          <w:p w14:paraId="7BCE33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1705" w:type="dxa"/>
          </w:tcPr>
          <w:p w14:paraId="4A2BED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705" w:type="dxa"/>
          </w:tcPr>
          <w:p w14:paraId="46FA83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705" w:type="dxa"/>
          </w:tcPr>
          <w:p w14:paraId="0BD851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r>
      <w:tr w14:paraId="7722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Pr>
          <w:p w14:paraId="3E0AA037">
            <w:pPr>
              <w:spacing w:line="360" w:lineRule="auto"/>
              <w:rPr>
                <w:rFonts w:hint="eastAsia" w:ascii="宋体" w:hAnsi="宋体" w:eastAsia="宋体" w:cs="宋体"/>
                <w:color w:val="auto"/>
                <w:sz w:val="21"/>
                <w:szCs w:val="21"/>
                <w:highlight w:val="none"/>
              </w:rPr>
            </w:pPr>
          </w:p>
        </w:tc>
        <w:tc>
          <w:tcPr>
            <w:tcW w:w="1704" w:type="dxa"/>
          </w:tcPr>
          <w:p w14:paraId="01AA2015">
            <w:pPr>
              <w:spacing w:line="360" w:lineRule="auto"/>
              <w:rPr>
                <w:rFonts w:hint="eastAsia" w:ascii="宋体" w:hAnsi="宋体" w:eastAsia="宋体" w:cs="宋体"/>
                <w:color w:val="auto"/>
                <w:sz w:val="21"/>
                <w:szCs w:val="21"/>
                <w:highlight w:val="none"/>
              </w:rPr>
            </w:pPr>
          </w:p>
        </w:tc>
        <w:tc>
          <w:tcPr>
            <w:tcW w:w="1705" w:type="dxa"/>
          </w:tcPr>
          <w:p w14:paraId="0AA4085A">
            <w:pPr>
              <w:spacing w:line="360" w:lineRule="auto"/>
              <w:rPr>
                <w:rFonts w:hint="eastAsia" w:ascii="宋体" w:hAnsi="宋体" w:eastAsia="宋体" w:cs="宋体"/>
                <w:color w:val="auto"/>
                <w:sz w:val="21"/>
                <w:szCs w:val="21"/>
                <w:highlight w:val="none"/>
              </w:rPr>
            </w:pPr>
          </w:p>
        </w:tc>
        <w:tc>
          <w:tcPr>
            <w:tcW w:w="1705" w:type="dxa"/>
          </w:tcPr>
          <w:p w14:paraId="68B1584E">
            <w:pPr>
              <w:spacing w:line="360" w:lineRule="auto"/>
              <w:rPr>
                <w:rFonts w:hint="eastAsia" w:ascii="宋体" w:hAnsi="宋体" w:eastAsia="宋体" w:cs="宋体"/>
                <w:color w:val="auto"/>
                <w:sz w:val="21"/>
                <w:szCs w:val="21"/>
                <w:highlight w:val="none"/>
              </w:rPr>
            </w:pPr>
          </w:p>
        </w:tc>
        <w:tc>
          <w:tcPr>
            <w:tcW w:w="1705" w:type="dxa"/>
          </w:tcPr>
          <w:p w14:paraId="192BF0FE">
            <w:pPr>
              <w:spacing w:line="360" w:lineRule="auto"/>
              <w:rPr>
                <w:rFonts w:hint="eastAsia" w:ascii="宋体" w:hAnsi="宋体" w:eastAsia="宋体" w:cs="宋体"/>
                <w:color w:val="auto"/>
                <w:sz w:val="21"/>
                <w:szCs w:val="21"/>
                <w:highlight w:val="none"/>
              </w:rPr>
            </w:pPr>
          </w:p>
        </w:tc>
      </w:tr>
    </w:tbl>
    <w:p w14:paraId="652987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采购物品详细技术参数及售后服务承诺以附表的形式附后。  </w:t>
      </w:r>
    </w:p>
    <w:p w14:paraId="4E3F6012">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三、质量要求及供货方对质量负责条件和期限（采购需求中的内容）</w:t>
      </w:r>
    </w:p>
    <w:p w14:paraId="6AD5FB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方提供的货物必须是现货、全新、正品，符合采购要求的规格型号和技术指标。在产品质量保修期内非因采购方的人为原因而出现质量问题的，由供货方负责包修、包换或者包退，并承担调换或退货的实际费用。</w:t>
      </w:r>
    </w:p>
    <w:p w14:paraId="078D63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方对供货范围内的产品质量负责。保修期内、期满后，供货方需免费提供技术咨询服务。供货方对所提供的设备的应急抢修，投标人须提供7×24小时支持维护服务。对于一般服务请求，要求投标人响应时间为1小时，确保在24小时以内解决问题，并告知处理结果；对影响医院业务进展的紧急服务请求，要求投标人响应时间为0.5小时，2小时到达现场，8小时解决问题，并告知处理结果。</w:t>
      </w:r>
    </w:p>
    <w:p w14:paraId="5CDEA64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3、免费质保期为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。质保期内需无条件免费服务如下：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F13D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4、保修期外更换配件以成本价计算。如设备出现重大问题影响正常使用，供货方需给予采购方最大限度的技术支持，提供备品、备件或备机等措施。</w:t>
      </w:r>
    </w:p>
    <w:p w14:paraId="4D8C7B0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5、供货方</w:t>
      </w:r>
      <w:r>
        <w:rPr>
          <w:rFonts w:hint="eastAsia" w:ascii="宋体" w:hAnsi="宋体" w:eastAsia="宋体" w:cs="宋体"/>
          <w:bCs/>
          <w:color w:val="auto"/>
          <w:sz w:val="21"/>
          <w:szCs w:val="21"/>
          <w:highlight w:val="none"/>
        </w:rPr>
        <w:t>终身提供产品维护、故障清除、技术升级等相关服务。</w:t>
      </w:r>
    </w:p>
    <w:p w14:paraId="5CE283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本项目涉及的系统软硬件（软件包含操作使用软件和系统运行软件）完全归采购方所有，供货方不得设置技术壁垒。供货方必须将系统间接口的技术参数、文档、密码、应用层面代码及各种协议向采购方公开透明。项目验收时必须向采购方提交所有使用层面密码、系统控制密码及产品合格证、自检报告、试运行报告、源代码等相关资料。</w:t>
      </w:r>
    </w:p>
    <w:p w14:paraId="3895DE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四、供货时间 </w:t>
      </w:r>
    </w:p>
    <w:p w14:paraId="4E7EEE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日历天供货。</w:t>
      </w:r>
    </w:p>
    <w:p w14:paraId="3D13504E">
      <w:pPr>
        <w:spacing w:line="360" w:lineRule="auto"/>
        <w:ind w:firstLine="420" w:firstLineChars="2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五、货款支付</w:t>
      </w:r>
      <w:r>
        <w:rPr>
          <w:rFonts w:hint="eastAsia" w:ascii="宋体" w:hAnsi="宋体" w:eastAsia="宋体" w:cs="宋体"/>
          <w:color w:val="auto"/>
          <w:sz w:val="21"/>
          <w:szCs w:val="21"/>
          <w:highlight w:val="none"/>
          <w:lang w:eastAsia="zh-CN"/>
        </w:rPr>
        <w:t>及进度安排</w:t>
      </w:r>
    </w:p>
    <w:p w14:paraId="092CC51B">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付款方式：甲乙双方另行协商。</w:t>
      </w:r>
    </w:p>
    <w:p w14:paraId="7AFF345E">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注：中标单位</w:t>
      </w:r>
      <w:r>
        <w:rPr>
          <w:rFonts w:hint="eastAsia" w:ascii="宋体" w:hAnsi="宋体" w:cs="宋体"/>
          <w:color w:val="auto"/>
          <w:sz w:val="21"/>
          <w:szCs w:val="21"/>
          <w:highlight w:val="none"/>
          <w:lang w:val="en-US" w:eastAsia="zh-CN"/>
        </w:rPr>
        <w:t>如</w:t>
      </w:r>
      <w:r>
        <w:rPr>
          <w:rFonts w:hint="eastAsia" w:ascii="宋体" w:hAnsi="宋体" w:eastAsia="宋体" w:cs="宋体"/>
          <w:color w:val="auto"/>
          <w:sz w:val="21"/>
          <w:szCs w:val="21"/>
          <w:highlight w:val="none"/>
          <w:lang w:val="en-US" w:eastAsia="zh-CN"/>
        </w:rPr>
        <w:t>为中小企业的，首付款比例可达到50%。</w:t>
      </w:r>
    </w:p>
    <w:p w14:paraId="44469F31">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六、违约责任</w:t>
      </w:r>
    </w:p>
    <w:p w14:paraId="0D6D3CCA">
      <w:pP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1、供货方逾期履行合同的，自逾期之日起，向采购方每日偿付合同总价款</w:t>
      </w:r>
      <w:r>
        <w:rPr>
          <w:rFonts w:hint="eastAsia" w:ascii="宋体" w:hAnsi="宋体" w:eastAsia="宋体" w:cs="宋体"/>
          <w:color w:val="auto"/>
          <w:sz w:val="21"/>
          <w:szCs w:val="21"/>
          <w:highlight w:val="none"/>
          <w:u w:val="single"/>
        </w:rPr>
        <w:t>千分之五</w:t>
      </w:r>
      <w:r>
        <w:rPr>
          <w:rFonts w:hint="eastAsia" w:ascii="宋体" w:hAnsi="宋体" w:eastAsia="宋体" w:cs="宋体"/>
          <w:color w:val="auto"/>
          <w:sz w:val="21"/>
          <w:szCs w:val="21"/>
          <w:highlight w:val="none"/>
        </w:rPr>
        <w:t>的违约金。到期未能按时完工或供货的，造成采购方无法支付货款，由此造成的经济损失，由供货方承担。由于到期未能完工造成的一切不良影响和法律责任，由供货方承担，并列入采购对象黑名单。</w:t>
      </w:r>
    </w:p>
    <w:p w14:paraId="14879E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2、项目验收合格，财政拨款到位后，采购方按照合同约定付款。逾期支付合同款，自逾期之日起，向供货方每日偿付合同总价款</w:t>
      </w:r>
      <w:r>
        <w:rPr>
          <w:rFonts w:hint="eastAsia" w:ascii="宋体" w:hAnsi="宋体" w:eastAsia="宋体" w:cs="宋体"/>
          <w:color w:val="auto"/>
          <w:sz w:val="21"/>
          <w:szCs w:val="21"/>
          <w:highlight w:val="none"/>
          <w:u w:val="single"/>
        </w:rPr>
        <w:t>千分之五</w:t>
      </w:r>
      <w:r>
        <w:rPr>
          <w:rFonts w:hint="eastAsia" w:ascii="宋体" w:hAnsi="宋体" w:eastAsia="宋体" w:cs="宋体"/>
          <w:color w:val="auto"/>
          <w:sz w:val="21"/>
          <w:szCs w:val="21"/>
          <w:highlight w:val="none"/>
        </w:rPr>
        <w:t>的违约金。</w:t>
      </w:r>
    </w:p>
    <w:p w14:paraId="09635D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3、供货方必须按照招标文件和合同要求供货，擅自更改超越合同范围造成损失，由供货方负责。</w:t>
      </w:r>
    </w:p>
    <w:p w14:paraId="5DD7DB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4、项目如需追加采购，必须书面报采购方，经采购方同意，由采购方按程序上报批准后方可追加，否则采购方不予认可。</w:t>
      </w:r>
    </w:p>
    <w:p w14:paraId="2DF4A5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5、如发现供货方违反招标文件和合同的有关规定，采购方有权追究供货方违约责任，并有权终止合同。</w:t>
      </w:r>
    </w:p>
    <w:p w14:paraId="39634D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6、因不可抗力导致本合同全部或部分不能履行时，双方各自承担其因此而造成的损失、损害。</w:t>
      </w:r>
    </w:p>
    <w:p w14:paraId="4316E50D">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七、调试和验收</w:t>
      </w:r>
    </w:p>
    <w:p w14:paraId="36D9B2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供货方免费负责送货及调试安装。采购方或其委托的质检部门负责验收。</w:t>
      </w:r>
    </w:p>
    <w:p w14:paraId="5CDB392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验收方案：</w:t>
      </w:r>
      <w:r>
        <w:rPr>
          <w:rFonts w:hint="eastAsia" w:ascii="宋体" w:hAnsi="宋体" w:eastAsia="宋体" w:cs="宋体"/>
          <w:color w:val="auto"/>
          <w:sz w:val="21"/>
          <w:szCs w:val="21"/>
          <w:highlight w:val="none"/>
        </w:rPr>
        <w:t>（1）履约验收主体</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登封市</w:t>
      </w:r>
      <w:r>
        <w:rPr>
          <w:rFonts w:hint="eastAsia" w:ascii="宋体" w:hAnsi="宋体" w:eastAsia="宋体" w:cs="宋体"/>
          <w:color w:val="auto"/>
          <w:sz w:val="21"/>
          <w:szCs w:val="21"/>
          <w:highlight w:val="none"/>
          <w:lang w:val="en-US" w:eastAsia="zh-CN"/>
        </w:rPr>
        <w:t>人民中医院</w:t>
      </w:r>
      <w:r>
        <w:rPr>
          <w:rFonts w:hint="eastAsia" w:ascii="宋体" w:hAnsi="宋体" w:eastAsia="宋体" w:cs="宋体"/>
          <w:color w:val="auto"/>
          <w:sz w:val="21"/>
          <w:szCs w:val="21"/>
          <w:highlight w:val="none"/>
        </w:rPr>
        <w:t xml:space="preserve">  </w:t>
      </w:r>
    </w:p>
    <w:p w14:paraId="5597200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（2）履约验收时间</w:t>
      </w:r>
      <w:r>
        <w:rPr>
          <w:rFonts w:hint="eastAsia" w:ascii="宋体" w:hAnsi="宋体" w:cs="宋体"/>
          <w:color w:val="auto"/>
          <w:sz w:val="21"/>
          <w:szCs w:val="21"/>
          <w:highlight w:val="none"/>
          <w:lang w:eastAsia="zh-CN"/>
        </w:rPr>
        <w:t>：</w:t>
      </w:r>
    </w:p>
    <w:p w14:paraId="59F7AA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本合同约定</w:t>
      </w:r>
      <w:r>
        <w:rPr>
          <w:rFonts w:hint="eastAsia" w:ascii="宋体" w:hAnsi="宋体" w:eastAsia="宋体" w:cs="宋体"/>
          <w:color w:val="auto"/>
          <w:sz w:val="21"/>
          <w:szCs w:val="21"/>
          <w:highlight w:val="none"/>
          <w:lang w:val="en-US" w:eastAsia="zh-CN"/>
        </w:rPr>
        <w:t>采购服务</w:t>
      </w:r>
      <w:r>
        <w:rPr>
          <w:rFonts w:hint="eastAsia" w:ascii="宋体" w:hAnsi="宋体" w:eastAsia="宋体" w:cs="宋体"/>
          <w:color w:val="auto"/>
          <w:sz w:val="21"/>
          <w:szCs w:val="21"/>
          <w:highlight w:val="none"/>
        </w:rPr>
        <w:t>事项的验收以甲方验收要求，由乙方出具</w:t>
      </w:r>
      <w:r>
        <w:rPr>
          <w:rFonts w:hint="eastAsia" w:ascii="宋体" w:hAnsi="宋体" w:eastAsia="宋体" w:cs="宋体"/>
          <w:color w:val="auto"/>
          <w:sz w:val="21"/>
          <w:szCs w:val="21"/>
          <w:highlight w:val="none"/>
          <w:lang w:val="en-US" w:eastAsia="zh-CN"/>
        </w:rPr>
        <w:t>货物</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清单</w:t>
      </w:r>
      <w:r>
        <w:rPr>
          <w:rFonts w:hint="eastAsia" w:ascii="宋体" w:hAnsi="宋体" w:eastAsia="宋体" w:cs="宋体"/>
          <w:color w:val="auto"/>
          <w:sz w:val="21"/>
          <w:szCs w:val="21"/>
          <w:highlight w:val="none"/>
        </w:rPr>
        <w:t>为前置条件，乙方</w:t>
      </w:r>
      <w:r>
        <w:rPr>
          <w:rFonts w:hint="eastAsia" w:ascii="宋体" w:hAnsi="宋体" w:eastAsia="宋体" w:cs="宋体"/>
          <w:color w:val="auto"/>
          <w:sz w:val="21"/>
          <w:szCs w:val="21"/>
          <w:highlight w:val="none"/>
          <w:lang w:val="en-US" w:eastAsia="zh-CN"/>
        </w:rPr>
        <w:t>提供的产品清单</w:t>
      </w:r>
      <w:r>
        <w:rPr>
          <w:rFonts w:hint="eastAsia" w:ascii="宋体" w:hAnsi="宋体" w:eastAsia="宋体" w:cs="宋体"/>
          <w:color w:val="auto"/>
          <w:sz w:val="21"/>
          <w:szCs w:val="21"/>
          <w:highlight w:val="none"/>
        </w:rPr>
        <w:t>通过甲方认可之日视同乙方向甲方提出验收申请之日。</w:t>
      </w:r>
    </w:p>
    <w:p w14:paraId="005ABD2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（3）履约验收方式</w:t>
      </w:r>
      <w:r>
        <w:rPr>
          <w:rFonts w:hint="eastAsia" w:ascii="宋体" w:hAnsi="宋体" w:cs="宋体"/>
          <w:color w:val="auto"/>
          <w:sz w:val="21"/>
          <w:szCs w:val="21"/>
          <w:highlight w:val="none"/>
          <w:lang w:eastAsia="zh-CN"/>
        </w:rPr>
        <w:t>：</w:t>
      </w:r>
    </w:p>
    <w:p w14:paraId="3E4CCA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1.书面报告验收；</w:t>
      </w:r>
    </w:p>
    <w:p w14:paraId="14F3A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乙方提供的产品在甲方指定的位置进行</w:t>
      </w:r>
      <w:r>
        <w:rPr>
          <w:rFonts w:hint="eastAsia" w:ascii="宋体" w:hAnsi="宋体" w:eastAsia="宋体" w:cs="宋体"/>
          <w:color w:val="auto"/>
          <w:sz w:val="21"/>
          <w:szCs w:val="21"/>
          <w:highlight w:val="none"/>
        </w:rPr>
        <w:t>考察验收；</w:t>
      </w:r>
    </w:p>
    <w:p w14:paraId="6D9A994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（4）履约验收程序</w:t>
      </w:r>
      <w:r>
        <w:rPr>
          <w:rFonts w:hint="eastAsia" w:ascii="宋体" w:hAnsi="宋体" w:cs="宋体"/>
          <w:color w:val="auto"/>
          <w:sz w:val="21"/>
          <w:szCs w:val="21"/>
          <w:highlight w:val="none"/>
          <w:lang w:eastAsia="zh-CN"/>
        </w:rPr>
        <w:t>：</w:t>
      </w:r>
    </w:p>
    <w:p w14:paraId="03A243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1、依法组织履约验收工作。2、符合国家行业验收标准3、制定验收方式。4、制定验收方案。5、履行验收权利及义务。</w:t>
      </w:r>
    </w:p>
    <w:p w14:paraId="7ABD3D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（5）履约验收内容</w:t>
      </w:r>
    </w:p>
    <w:p w14:paraId="004A6FA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对甲方提供的产品货物</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清单按照规格与数量的要求及投标文件购置清单相对照作为验收的主要内容。</w:t>
      </w:r>
    </w:p>
    <w:p w14:paraId="2E1A8B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（6）履约验收验收标准</w:t>
      </w:r>
    </w:p>
    <w:p w14:paraId="6D8E8B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符合国家</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行业</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eastAsia="zh-CN"/>
        </w:rPr>
        <w:t>及要求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满足采购人</w:t>
      </w:r>
      <w:r>
        <w:rPr>
          <w:rFonts w:hint="eastAsia" w:ascii="宋体" w:hAnsi="宋体" w:eastAsia="宋体" w:cs="宋体"/>
          <w:color w:val="auto"/>
          <w:sz w:val="21"/>
          <w:szCs w:val="21"/>
          <w:highlight w:val="none"/>
          <w:lang w:eastAsia="zh-CN"/>
        </w:rPr>
        <w:t>的相关</w:t>
      </w:r>
      <w:r>
        <w:rPr>
          <w:rFonts w:hint="eastAsia" w:ascii="宋体" w:hAnsi="宋体" w:eastAsia="宋体" w:cs="宋体"/>
          <w:color w:val="auto"/>
          <w:sz w:val="21"/>
          <w:szCs w:val="21"/>
          <w:highlight w:val="none"/>
        </w:rPr>
        <w:t>要求。</w:t>
      </w:r>
    </w:p>
    <w:p w14:paraId="07387B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（7）履约验收其他事项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 xml:space="preserve">          </w:t>
      </w:r>
      <w:r>
        <w:rPr>
          <w:rFonts w:hint="eastAsia"/>
        </w:rPr>
        <w:t xml:space="preserve">                            </w:t>
      </w:r>
      <w:r>
        <w:rPr>
          <w:rFonts w:hint="eastAsia" w:ascii="宋体" w:hAnsi="宋体" w:eastAsia="宋体" w:cs="宋体"/>
          <w:color w:val="auto"/>
          <w:sz w:val="21"/>
          <w:szCs w:val="21"/>
          <w:highlight w:val="none"/>
        </w:rPr>
        <w:t xml:space="preserve">      </w:t>
      </w:r>
    </w:p>
    <w:p w14:paraId="2626B8CC">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八、争议的解决</w:t>
      </w:r>
    </w:p>
    <w:p w14:paraId="2141E9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因服务质量和售后服务等发生的争议，应首先通过协商解决，如协商不成，依法向采购方住所地人民法院提请诉讼。</w:t>
      </w:r>
    </w:p>
    <w:p w14:paraId="193F50C8">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九、其他</w:t>
      </w:r>
    </w:p>
    <w:p w14:paraId="0E3500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1、本合同经采购方、供货方法定代表人或其委托人签字并加盖公章后生效。</w:t>
      </w:r>
    </w:p>
    <w:p w14:paraId="2C3C86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2、本合同一式贰份，采购方、供货方各执一份。</w:t>
      </w:r>
    </w:p>
    <w:p w14:paraId="30A52D66">
      <w:pPr>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3、合同未尽事宜，双方应依照招、投标文件签订补充合同。</w:t>
      </w:r>
    </w:p>
    <w:p w14:paraId="239DD4C9">
      <w:pPr>
        <w:spacing w:line="360" w:lineRule="auto"/>
        <w:rPr>
          <w:rFonts w:hint="eastAsia" w:ascii="宋体" w:hAnsi="宋体" w:eastAsia="宋体" w:cs="宋体"/>
          <w:color w:val="auto"/>
          <w:sz w:val="21"/>
          <w:szCs w:val="21"/>
          <w:highlight w:val="none"/>
        </w:rPr>
      </w:pPr>
    </w:p>
    <w:p w14:paraId="46F4BA99">
      <w:pPr>
        <w:spacing w:line="360" w:lineRule="auto"/>
        <w:rPr>
          <w:rFonts w:hint="eastAsia" w:ascii="宋体" w:hAnsi="宋体" w:eastAsia="宋体" w:cs="宋体"/>
          <w:color w:val="auto"/>
          <w:sz w:val="21"/>
          <w:szCs w:val="21"/>
          <w:highlight w:val="none"/>
        </w:rPr>
      </w:pPr>
    </w:p>
    <w:p w14:paraId="2D8682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乙方（盖章）：</w:t>
      </w:r>
    </w:p>
    <w:p w14:paraId="1A44B09E">
      <w:pPr>
        <w:spacing w:line="360" w:lineRule="auto"/>
        <w:ind w:left="3043" w:leftChars="199" w:hanging="2625" w:hangingChars="1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法定代表或其委托人：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法定代表或其委托人：</w:t>
      </w:r>
    </w:p>
    <w:p w14:paraId="7158DE75">
      <w:pPr>
        <w:spacing w:line="360" w:lineRule="auto"/>
        <w:ind w:left="3043" w:leftChars="-1" w:hanging="3045" w:hangingChars="1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F4A13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p>
    <w:p w14:paraId="68976E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p>
    <w:p w14:paraId="1EBA49C4">
      <w:pPr>
        <w:spacing w:line="360" w:lineRule="auto"/>
        <w:rPr>
          <w:rFonts w:hint="eastAsia" w:ascii="宋体" w:hAnsi="宋体" w:eastAsia="宋体" w:cs="宋体"/>
          <w:color w:val="auto"/>
          <w:sz w:val="21"/>
          <w:szCs w:val="21"/>
          <w:highlight w:val="none"/>
        </w:rPr>
      </w:pPr>
    </w:p>
    <w:p w14:paraId="2F019080">
      <w:pPr>
        <w:spacing w:line="360" w:lineRule="auto"/>
        <w:rPr>
          <w:rFonts w:hint="eastAsia" w:ascii="宋体" w:hAnsi="宋体" w:eastAsia="宋体" w:cs="宋体"/>
          <w:color w:val="auto"/>
          <w:sz w:val="21"/>
          <w:szCs w:val="21"/>
          <w:highlight w:val="none"/>
        </w:rPr>
      </w:pPr>
    </w:p>
    <w:p w14:paraId="1F4A25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合同生效时间：   年    月   日</w:t>
      </w:r>
    </w:p>
    <w:p w14:paraId="22235143">
      <w:pPr>
        <w:spacing w:line="360" w:lineRule="auto"/>
        <w:rPr>
          <w:rFonts w:hint="eastAsia" w:ascii="宋体" w:hAnsi="宋体" w:eastAsia="宋体" w:cs="宋体"/>
          <w:color w:val="auto"/>
          <w:sz w:val="21"/>
          <w:szCs w:val="21"/>
          <w:highlight w:val="none"/>
        </w:rPr>
      </w:pPr>
    </w:p>
    <w:p w14:paraId="501F336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附件一：设备参数清单</w:t>
      </w:r>
    </w:p>
    <w:p w14:paraId="6E60907D">
      <w:pPr>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附件二：售后服务                       </w:t>
      </w:r>
    </w:p>
    <w:p w14:paraId="30963B7B">
      <w:pPr>
        <w:spacing w:line="500" w:lineRule="exact"/>
        <w:rPr>
          <w:rFonts w:ascii="宋体" w:hAnsi="宋体" w:cs="宋体"/>
          <w:color w:val="auto"/>
          <w:sz w:val="24"/>
          <w:highlight w:val="none"/>
        </w:rPr>
      </w:pPr>
    </w:p>
    <w:p w14:paraId="612D92BE">
      <w:pPr>
        <w:spacing w:after="50" w:line="360" w:lineRule="auto"/>
        <w:ind w:firstLine="480" w:firstLineChars="200"/>
        <w:rPr>
          <w:rFonts w:ascii="宋体" w:hAnsi="宋体" w:cs="宋体"/>
          <w:color w:val="auto"/>
          <w:sz w:val="24"/>
          <w:highlight w:val="none"/>
        </w:rPr>
      </w:pPr>
    </w:p>
    <w:p w14:paraId="3DE36A7D">
      <w:pPr>
        <w:pStyle w:val="28"/>
        <w:rPr>
          <w:color w:val="auto"/>
          <w:highlight w:val="none"/>
        </w:rPr>
      </w:pPr>
      <w:r>
        <w:rPr>
          <w:rFonts w:hint="eastAsia" w:ascii="宋体" w:hAnsi="宋体" w:cs="宋体"/>
          <w:color w:val="auto"/>
          <w:sz w:val="24"/>
          <w:highlight w:val="none"/>
        </w:rPr>
        <w:br w:type="page"/>
      </w:r>
    </w:p>
    <w:bookmarkEnd w:id="143"/>
    <w:p w14:paraId="03747D75">
      <w:pPr>
        <w:pStyle w:val="2"/>
        <w:numPr>
          <w:ilvl w:val="0"/>
          <w:numId w:val="0"/>
        </w:numPr>
        <w:spacing w:before="0"/>
        <w:ind w:leftChars="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第五章  技术标准及要求</w:t>
      </w:r>
      <w:bookmarkStart w:id="144" w:name="_Toc418512379"/>
      <w:bookmarkStart w:id="145" w:name="_Toc405032709"/>
    </w:p>
    <w:bookmarkEnd w:id="144"/>
    <w:bookmarkEnd w:id="145"/>
    <w:p w14:paraId="2FF86476">
      <w:pPr>
        <w:pStyle w:val="2"/>
      </w:pPr>
      <w:r>
        <w:rPr>
          <w:rFonts w:hint="eastAsia"/>
        </w:rPr>
        <w:t>第一</w:t>
      </w:r>
      <w:r>
        <w:rPr>
          <w:rFonts w:hint="eastAsia"/>
          <w:lang w:val="en-US" w:eastAsia="zh-CN"/>
        </w:rPr>
        <w:t>篇</w:t>
      </w:r>
      <w:r>
        <w:rPr>
          <w:rFonts w:hint="eastAsia"/>
        </w:rPr>
        <w:t>建设目标及遵循标准</w:t>
      </w:r>
    </w:p>
    <w:p w14:paraId="303E67FE">
      <w:pPr>
        <w:pStyle w:val="3"/>
        <w:rPr>
          <w:rFonts w:hint="eastAsia" w:cs="Lucida Sans Unicode" w:asciiTheme="minorEastAsia" w:hAnsiTheme="minorEastAsia" w:eastAsiaTheme="minorEastAsia"/>
          <w:kern w:val="2"/>
          <w:sz w:val="28"/>
          <w:szCs w:val="28"/>
          <w:lang w:val="en-US" w:eastAsia="zh-CN" w:bidi="ar-SA"/>
        </w:rPr>
      </w:pPr>
      <w:r>
        <w:rPr>
          <w:rFonts w:hint="eastAsia" w:cs="Lucida Sans Unicode" w:asciiTheme="minorEastAsia" w:hAnsiTheme="minorEastAsia" w:eastAsiaTheme="minorEastAsia"/>
          <w:kern w:val="2"/>
          <w:sz w:val="28"/>
          <w:szCs w:val="28"/>
          <w:lang w:val="en-US" w:eastAsia="zh-CN" w:bidi="ar-SA"/>
        </w:rPr>
        <w:t>一、建设目标</w:t>
      </w:r>
    </w:p>
    <w:p w14:paraId="472A65F3">
      <w:pPr>
        <w:pStyle w:val="82"/>
        <w:ind w:right="25"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登封市人民中医院属于登封市总医院医疗集团，规划床位600张，是</w:t>
      </w:r>
      <w:r>
        <w:rPr>
          <w:rFonts w:asciiTheme="minorEastAsia" w:hAnsiTheme="minorEastAsia" w:eastAsiaTheme="minorEastAsia"/>
          <w:sz w:val="28"/>
          <w:szCs w:val="28"/>
        </w:rPr>
        <w:t>集医疗、康复、保健为一体的二级甲等中医院。</w:t>
      </w:r>
      <w:r>
        <w:rPr>
          <w:rFonts w:hint="eastAsia" w:asciiTheme="minorEastAsia" w:hAnsiTheme="minorEastAsia" w:eastAsiaTheme="minorEastAsia"/>
          <w:sz w:val="28"/>
          <w:szCs w:val="28"/>
        </w:rPr>
        <w:t>其</w:t>
      </w:r>
      <w:r>
        <w:rPr>
          <w:rFonts w:asciiTheme="minorEastAsia" w:hAnsiTheme="minorEastAsia" w:eastAsiaTheme="minorEastAsia"/>
          <w:sz w:val="28"/>
          <w:szCs w:val="28"/>
        </w:rPr>
        <w:t>信息化建设应</w:t>
      </w:r>
      <w:r>
        <w:rPr>
          <w:rFonts w:hint="eastAsia" w:asciiTheme="minorEastAsia" w:hAnsiTheme="minorEastAsia" w:eastAsiaTheme="minorEastAsia"/>
          <w:sz w:val="28"/>
          <w:szCs w:val="28"/>
        </w:rPr>
        <w:t>实现《全国医院信息化建设标准与规范（试行）》、</w:t>
      </w:r>
      <w:r>
        <w:rPr>
          <w:rFonts w:asciiTheme="minorEastAsia" w:hAnsiTheme="minorEastAsia" w:eastAsiaTheme="minorEastAsia"/>
          <w:sz w:val="28"/>
          <w:szCs w:val="28"/>
        </w:rPr>
        <w:t>《</w:t>
      </w:r>
      <w:r>
        <w:rPr>
          <w:rFonts w:hint="eastAsia" w:asciiTheme="minorEastAsia" w:hAnsiTheme="minorEastAsia" w:eastAsiaTheme="minorEastAsia"/>
          <w:sz w:val="28"/>
          <w:szCs w:val="28"/>
        </w:rPr>
        <w:t>电子病历系统应用水平分级评价标准</w:t>
      </w:r>
      <w:r>
        <w:rPr>
          <w:rFonts w:asciiTheme="minorEastAsia" w:hAnsiTheme="minorEastAsia" w:eastAsiaTheme="minorEastAsia"/>
          <w:sz w:val="28"/>
          <w:szCs w:val="28"/>
        </w:rPr>
        <w:t>》（</w:t>
      </w:r>
      <w:r>
        <w:rPr>
          <w:rFonts w:hint="eastAsia" w:asciiTheme="minorEastAsia" w:hAnsiTheme="minorEastAsia" w:eastAsiaTheme="minorEastAsia"/>
          <w:sz w:val="28"/>
          <w:szCs w:val="28"/>
        </w:rPr>
        <w:t>2018版</w:t>
      </w:r>
      <w:r>
        <w:rPr>
          <w:rFonts w:asciiTheme="minorEastAsia" w:hAnsiTheme="minorEastAsia" w:eastAsiaTheme="minorEastAsia"/>
          <w:sz w:val="28"/>
          <w:szCs w:val="28"/>
        </w:rPr>
        <w:t>）</w:t>
      </w:r>
      <w:r>
        <w:rPr>
          <w:rFonts w:hint="eastAsia" w:asciiTheme="minorEastAsia" w:hAnsiTheme="minorEastAsia" w:eastAsiaTheme="minorEastAsia"/>
          <w:sz w:val="28"/>
          <w:szCs w:val="28"/>
        </w:rPr>
        <w:t>、《河南省数字化医院评审标准》（2022版）等标准规范</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，更好的满足医院管理和应用需求，需要扩展部分应用系统，与登封市人民医院实现一体化应用和数据互通共享。</w:t>
      </w:r>
    </w:p>
    <w:p w14:paraId="2FEE5C97">
      <w:pPr>
        <w:pStyle w:val="3"/>
        <w:rPr>
          <w:rFonts w:hint="eastAsia" w:cs="Lucida Sans Unicode" w:asciiTheme="minorEastAsia" w:hAnsiTheme="minorEastAsia" w:eastAsiaTheme="minorEastAsia"/>
          <w:kern w:val="2"/>
          <w:sz w:val="28"/>
          <w:szCs w:val="28"/>
          <w:lang w:val="en-US" w:eastAsia="zh-CN" w:bidi="ar-SA"/>
        </w:rPr>
      </w:pPr>
      <w:bookmarkStart w:id="146" w:name="_Toc405032711"/>
      <w:bookmarkStart w:id="147" w:name="_Toc418512380"/>
      <w:r>
        <w:rPr>
          <w:rFonts w:hint="eastAsia" w:cs="Lucida Sans Unicode" w:asciiTheme="minorEastAsia" w:hAnsiTheme="minorEastAsia" w:eastAsiaTheme="minorEastAsia"/>
          <w:kern w:val="2"/>
          <w:sz w:val="28"/>
          <w:szCs w:val="28"/>
          <w:lang w:val="en-US" w:eastAsia="zh-CN" w:bidi="ar-SA"/>
        </w:rPr>
        <w:t>二、具体建设要求</w:t>
      </w:r>
      <w:bookmarkEnd w:id="146"/>
      <w:bookmarkEnd w:id="147"/>
    </w:p>
    <w:p w14:paraId="697B3801">
      <w:pPr>
        <w:pStyle w:val="82"/>
        <w:ind w:right="25"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1、保持与登封市人民医院信息系统一致，采用同一数据库、同一数据中心，实现一体化</w:t>
      </w:r>
      <w:r>
        <w:rPr>
          <w:rFonts w:asciiTheme="minorEastAsia" w:hAnsiTheme="minorEastAsia" w:eastAsiaTheme="minorEastAsia"/>
          <w:sz w:val="28"/>
          <w:szCs w:val="28"/>
        </w:rPr>
        <w:t>应用</w:t>
      </w:r>
      <w:r>
        <w:rPr>
          <w:rFonts w:hint="eastAsia" w:asciiTheme="minorEastAsia" w:hAnsiTheme="minorEastAsia" w:eastAsiaTheme="minorEastAsia"/>
          <w:sz w:val="28"/>
          <w:szCs w:val="28"/>
        </w:rPr>
        <w:t>和数据互联互通</w:t>
      </w:r>
      <w:r>
        <w:rPr>
          <w:rFonts w:asciiTheme="minorEastAsia" w:hAnsiTheme="minorEastAsia" w:eastAsiaTheme="minorEastAsia"/>
          <w:sz w:val="28"/>
          <w:szCs w:val="28"/>
        </w:rPr>
        <w:t>。</w:t>
      </w:r>
    </w:p>
    <w:p w14:paraId="78D901C4">
      <w:pPr>
        <w:pStyle w:val="82"/>
        <w:ind w:right="25"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2、医生可以在登封市人民中医院和登封市人民医院两个院区使用同一工号登录所属不同院区的系统。</w:t>
      </w:r>
    </w:p>
    <w:p w14:paraId="2C942F3B">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3、整套系统需要总体规划。系统应根据医院各个科室的具体工作流程和需要进行定制、重组和改造，以实现科室的要求。此外，为适应将来的发展，应为医院提供定制和改造的客户化工具,系统应具有良好的可裁剪性、可扩充性和可移植性；系统能提供简单方便的维护、升级方式。</w:t>
      </w:r>
    </w:p>
    <w:p w14:paraId="0EF48BB3">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4、软件系统的工作流程需要符合医院需求，并提供灵活的调整空间。</w:t>
      </w:r>
    </w:p>
    <w:p w14:paraId="3D2D9394">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5、版权责任</w:t>
      </w:r>
    </w:p>
    <w:p w14:paraId="5324987F">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中标方应保证招标方享有所有标书中所涉及购买的软件的合法的使用权限。</w:t>
      </w:r>
    </w:p>
    <w:p w14:paraId="4575A653">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6、系统支持多院区应用，支持多院区间数据共享。</w:t>
      </w:r>
    </w:p>
    <w:p w14:paraId="095F5A41">
      <w:pPr>
        <w:pStyle w:val="81"/>
        <w:spacing w:line="360" w:lineRule="auto"/>
        <w:ind w:right="0" w:rightChars="0" w:firstLine="560"/>
        <w:rPr>
          <w:rFonts w:asciiTheme="minorEastAsia" w:hAnsiTheme="minorEastAsia" w:eastAsiaTheme="minorEastAsia"/>
          <w:sz w:val="28"/>
          <w:szCs w:val="28"/>
        </w:rPr>
      </w:pPr>
      <w:bookmarkStart w:id="148" w:name="_Toc405032712"/>
      <w:bookmarkStart w:id="149" w:name="_Toc418512381"/>
      <w:r>
        <w:rPr>
          <w:rFonts w:hint="eastAsia" w:asciiTheme="minorEastAsia" w:hAnsiTheme="minorEastAsia" w:eastAsiaTheme="minorEastAsia"/>
          <w:sz w:val="28"/>
          <w:szCs w:val="28"/>
        </w:rPr>
        <w:t>7、确保所投</w:t>
      </w:r>
      <w:r>
        <w:rPr>
          <w:rFonts w:asciiTheme="minorEastAsia" w:hAnsiTheme="minorEastAsia" w:eastAsiaTheme="minorEastAsia"/>
          <w:sz w:val="28"/>
          <w:szCs w:val="28"/>
        </w:rPr>
        <w:t>产品实现电子病历应用水平</w:t>
      </w:r>
      <w:r>
        <w:rPr>
          <w:rFonts w:hint="eastAsia" w:asciiTheme="minorEastAsia" w:hAnsiTheme="minorEastAsia" w:eastAsiaTheme="minorEastAsia"/>
          <w:sz w:val="28"/>
          <w:szCs w:val="28"/>
        </w:rPr>
        <w:t>4级评审</w:t>
      </w:r>
      <w:r>
        <w:rPr>
          <w:rFonts w:asciiTheme="minorEastAsia" w:hAnsiTheme="minorEastAsia" w:eastAsiaTheme="minorEastAsia"/>
          <w:sz w:val="28"/>
          <w:szCs w:val="28"/>
        </w:rPr>
        <w:t>标准要求</w:t>
      </w:r>
      <w:r>
        <w:rPr>
          <w:rFonts w:hint="eastAsia" w:asciiTheme="minorEastAsia" w:hAnsiTheme="minorEastAsia" w:eastAsiaTheme="minorEastAsia"/>
          <w:sz w:val="28"/>
          <w:szCs w:val="28"/>
        </w:rPr>
        <w:t>，</w:t>
      </w:r>
      <w:r>
        <w:rPr>
          <w:rFonts w:asciiTheme="minorEastAsia" w:hAnsiTheme="minorEastAsia" w:eastAsiaTheme="minorEastAsia"/>
          <w:sz w:val="28"/>
          <w:szCs w:val="28"/>
        </w:rPr>
        <w:t>及</w:t>
      </w:r>
      <w:r>
        <w:rPr>
          <w:rFonts w:hint="eastAsia" w:asciiTheme="minorEastAsia" w:hAnsiTheme="minorEastAsia" w:eastAsiaTheme="minorEastAsia"/>
          <w:sz w:val="28"/>
          <w:szCs w:val="28"/>
        </w:rPr>
        <w:t>实现与国家</w:t>
      </w:r>
      <w:r>
        <w:rPr>
          <w:rFonts w:asciiTheme="minorEastAsia" w:hAnsiTheme="minorEastAsia" w:eastAsiaTheme="minorEastAsia"/>
          <w:sz w:val="28"/>
          <w:szCs w:val="28"/>
        </w:rPr>
        <w:t>医保</w:t>
      </w:r>
      <w:r>
        <w:rPr>
          <w:rFonts w:hint="eastAsia" w:asciiTheme="minorEastAsia" w:hAnsiTheme="minorEastAsia" w:eastAsiaTheme="minorEastAsia"/>
          <w:sz w:val="28"/>
          <w:szCs w:val="28"/>
        </w:rPr>
        <w:t>信息</w:t>
      </w:r>
      <w:r>
        <w:rPr>
          <w:rFonts w:asciiTheme="minorEastAsia" w:hAnsiTheme="minorEastAsia" w:eastAsiaTheme="minorEastAsia"/>
          <w:sz w:val="28"/>
          <w:szCs w:val="28"/>
        </w:rPr>
        <w:t>平台</w:t>
      </w:r>
      <w:r>
        <w:rPr>
          <w:rFonts w:hint="eastAsia" w:asciiTheme="minorEastAsia" w:hAnsiTheme="minorEastAsia" w:eastAsiaTheme="minorEastAsia"/>
          <w:sz w:val="28"/>
          <w:szCs w:val="28"/>
        </w:rPr>
        <w:t>对接</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w:t>
      </w:r>
    </w:p>
    <w:p w14:paraId="4211AA0B">
      <w:pPr>
        <w:pStyle w:val="3"/>
        <w:rPr>
          <w:rFonts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三</w:t>
      </w:r>
      <w:bookmarkEnd w:id="148"/>
      <w:r>
        <w:rPr>
          <w:rFonts w:hint="eastAsia" w:cs="Times New Roman" w:asciiTheme="minorEastAsia" w:hAnsiTheme="minorEastAsia" w:eastAsiaTheme="minorEastAsia"/>
          <w:kern w:val="2"/>
          <w:sz w:val="28"/>
          <w:szCs w:val="28"/>
          <w:lang w:val="en-US" w:eastAsia="zh-CN" w:bidi="ar-SA"/>
        </w:rPr>
        <w:t>、规范性与标准性要求</w:t>
      </w:r>
      <w:bookmarkEnd w:id="149"/>
    </w:p>
    <w:p w14:paraId="2294D621">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投标方提供的软件系统，必须符合下述卫健</w:t>
      </w:r>
      <w:r>
        <w:rPr>
          <w:rFonts w:asciiTheme="minorEastAsia" w:hAnsiTheme="minorEastAsia" w:eastAsiaTheme="minorEastAsia"/>
          <w:sz w:val="28"/>
          <w:szCs w:val="28"/>
        </w:rPr>
        <w:t>委</w:t>
      </w:r>
      <w:r>
        <w:rPr>
          <w:rFonts w:hint="eastAsia" w:asciiTheme="minorEastAsia" w:hAnsiTheme="minorEastAsia" w:eastAsiaTheme="minorEastAsia"/>
          <w:sz w:val="28"/>
          <w:szCs w:val="28"/>
        </w:rPr>
        <w:t>相关标准和规范（但不限于）：</w:t>
      </w:r>
    </w:p>
    <w:p w14:paraId="7995AB92">
      <w:pPr>
        <w:pStyle w:val="81"/>
        <w:spacing w:line="360" w:lineRule="auto"/>
        <w:ind w:right="0" w:rightChars="0" w:firstLine="56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、《关于印发全国医院信息化建设标准与规范(试行)的通知》(国卫办规划发〔</w:t>
      </w:r>
      <w:r>
        <w:rPr>
          <w:rFonts w:asciiTheme="minorEastAsia" w:hAnsiTheme="minorEastAsia" w:eastAsiaTheme="minorEastAsia"/>
          <w:sz w:val="28"/>
          <w:szCs w:val="28"/>
        </w:rPr>
        <w:t>2018〕4号</w:t>
      </w:r>
      <w:r>
        <w:rPr>
          <w:rFonts w:hint="eastAsia" w:asciiTheme="minorEastAsia" w:hAnsiTheme="minorEastAsia" w:eastAsiaTheme="minorEastAsia"/>
          <w:sz w:val="28"/>
          <w:szCs w:val="28"/>
        </w:rPr>
        <w:t>)。</w:t>
      </w:r>
    </w:p>
    <w:p w14:paraId="78343D70">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2、《关于印发电子病历系统应用水平分级评价管理办法（试行）及评价标准（试行）》的通知（国卫办医函〔2018〕1079号</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p>
    <w:p w14:paraId="262F239E">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医院智慧服务分级评估标准体系（试行）</w:t>
      </w:r>
      <w:r>
        <w:rPr>
          <w:rFonts w:hint="eastAsia" w:asciiTheme="minorEastAsia" w:hAnsiTheme="minorEastAsia" w:eastAsiaTheme="minorEastAsia"/>
          <w:sz w:val="28"/>
          <w:szCs w:val="28"/>
        </w:rPr>
        <w:t>》</w:t>
      </w:r>
      <w:r>
        <w:fldChar w:fldCharType="begin"/>
      </w:r>
      <w:r>
        <w:instrText xml:space="preserve"> HYPERLINK "http://www.waizi.org.cn/doc/61414.html" \t "_blank" \o "国卫办医函〔2019〕236号《国家卫生健康委办公厅关于印发医院智慧服务分级评估标准体系（试行）的通知》" </w:instrText>
      </w:r>
      <w:r>
        <w:fldChar w:fldCharType="separate"/>
      </w:r>
      <w:r>
        <w:rPr>
          <w:rFonts w:hint="eastAsia" w:asciiTheme="minorEastAsia" w:hAnsiTheme="minorEastAsia" w:eastAsiaTheme="minorEastAsia"/>
          <w:sz w:val="28"/>
          <w:szCs w:val="28"/>
        </w:rPr>
        <w:t>国卫办医函〔2019〕236号</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14:paraId="6D065A57">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4、《医院智慧管理分级评估标准体系（试行）》国卫办医函〔2021〕86 号。</w:t>
      </w:r>
    </w:p>
    <w:p w14:paraId="1E5B968F">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5、《河南省数字化医院评审标准（2022版）》豫卫信息函﹝2022﹞7号。</w:t>
      </w:r>
    </w:p>
    <w:p w14:paraId="4E32C236">
      <w:pPr>
        <w:pStyle w:val="81"/>
        <w:spacing w:line="360" w:lineRule="auto"/>
        <w:ind w:right="0" w:rightChars="0" w:firstLine="560"/>
        <w:rPr>
          <w:rFonts w:asciiTheme="minorEastAsia" w:hAnsiTheme="minorEastAsia" w:eastAsiaTheme="minorEastAsia"/>
          <w:sz w:val="28"/>
          <w:szCs w:val="28"/>
        </w:rPr>
      </w:pPr>
    </w:p>
    <w:p w14:paraId="396A78DA">
      <w:pPr>
        <w:pStyle w:val="2"/>
      </w:pPr>
      <w:r>
        <w:rPr>
          <w:rFonts w:hint="eastAsia"/>
        </w:rPr>
        <w:t>第二</w:t>
      </w:r>
      <w:r>
        <w:rPr>
          <w:rFonts w:hint="eastAsia"/>
          <w:lang w:val="en-US" w:eastAsia="zh-CN"/>
        </w:rPr>
        <w:t>篇</w:t>
      </w:r>
      <w:r>
        <w:rPr>
          <w:rFonts w:hint="eastAsia"/>
        </w:rPr>
        <w:t>招标内容及技术功能要求</w:t>
      </w:r>
    </w:p>
    <w:p w14:paraId="45BD4505">
      <w:pPr>
        <w:pStyle w:val="3"/>
      </w:pPr>
      <w:r>
        <w:rPr>
          <w:rFonts w:hint="eastAsia"/>
        </w:rPr>
        <w:t>2.1、产品清单</w:t>
      </w:r>
    </w:p>
    <w:tbl>
      <w:tblPr>
        <w:tblStyle w:val="30"/>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513"/>
        <w:gridCol w:w="7160"/>
        <w:gridCol w:w="1127"/>
      </w:tblGrid>
      <w:tr w14:paraId="7D9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shd w:val="clear" w:color="auto" w:fill="auto"/>
          </w:tcPr>
          <w:p w14:paraId="4FFF4CE3">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项目分类</w:t>
            </w:r>
          </w:p>
        </w:tc>
        <w:tc>
          <w:tcPr>
            <w:tcW w:w="248" w:type="pct"/>
            <w:shd w:val="clear" w:color="auto" w:fill="auto"/>
          </w:tcPr>
          <w:p w14:paraId="7E74828F">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序号</w:t>
            </w:r>
          </w:p>
        </w:tc>
        <w:tc>
          <w:tcPr>
            <w:tcW w:w="3464" w:type="pct"/>
            <w:shd w:val="clear" w:color="auto" w:fill="auto"/>
          </w:tcPr>
          <w:p w14:paraId="2F8F9C7E">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系统名称</w:t>
            </w:r>
          </w:p>
        </w:tc>
        <w:tc>
          <w:tcPr>
            <w:tcW w:w="545" w:type="pct"/>
            <w:shd w:val="clear" w:color="auto" w:fill="auto"/>
          </w:tcPr>
          <w:p w14:paraId="0594F9FE">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数量</w:t>
            </w:r>
          </w:p>
        </w:tc>
      </w:tr>
      <w:tr w14:paraId="63BD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restart"/>
            <w:shd w:val="clear" w:color="auto" w:fill="auto"/>
          </w:tcPr>
          <w:p w14:paraId="1D344C49">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软件部分</w:t>
            </w:r>
          </w:p>
        </w:tc>
        <w:tc>
          <w:tcPr>
            <w:tcW w:w="248" w:type="pct"/>
            <w:shd w:val="clear" w:color="auto" w:fill="auto"/>
          </w:tcPr>
          <w:p w14:paraId="18CE4973">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w:t>
            </w:r>
          </w:p>
        </w:tc>
        <w:tc>
          <w:tcPr>
            <w:tcW w:w="3464" w:type="pct"/>
            <w:shd w:val="clear" w:color="auto" w:fill="auto"/>
          </w:tcPr>
          <w:p w14:paraId="6AA16281">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不良事件管理系统</w:t>
            </w:r>
          </w:p>
        </w:tc>
        <w:tc>
          <w:tcPr>
            <w:tcW w:w="545" w:type="pct"/>
            <w:shd w:val="clear" w:color="auto" w:fill="auto"/>
          </w:tcPr>
          <w:p w14:paraId="640B1A4A">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1套</w:t>
            </w:r>
          </w:p>
        </w:tc>
      </w:tr>
      <w:tr w14:paraId="35A7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72DDE45B">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shd w:val="clear" w:color="auto" w:fill="auto"/>
          </w:tcPr>
          <w:p w14:paraId="09238623">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2</w:t>
            </w:r>
          </w:p>
        </w:tc>
        <w:tc>
          <w:tcPr>
            <w:tcW w:w="3464" w:type="pct"/>
            <w:shd w:val="clear" w:color="auto" w:fill="auto"/>
          </w:tcPr>
          <w:p w14:paraId="39B1106F">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无纸化病案多院区扩展系统</w:t>
            </w:r>
          </w:p>
        </w:tc>
        <w:tc>
          <w:tcPr>
            <w:tcW w:w="545" w:type="pct"/>
            <w:shd w:val="clear" w:color="auto" w:fill="auto"/>
          </w:tcPr>
          <w:p w14:paraId="0F14A903">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1套</w:t>
            </w:r>
          </w:p>
        </w:tc>
      </w:tr>
      <w:tr w14:paraId="115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5871777D">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shd w:val="clear" w:color="auto" w:fill="auto"/>
          </w:tcPr>
          <w:p w14:paraId="11326C9F">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3</w:t>
            </w:r>
          </w:p>
        </w:tc>
        <w:tc>
          <w:tcPr>
            <w:tcW w:w="3464" w:type="pct"/>
            <w:shd w:val="clear" w:color="auto" w:fill="auto"/>
          </w:tcPr>
          <w:p w14:paraId="56E406F1">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中医</w:t>
            </w:r>
            <w:bookmarkStart w:id="150" w:name="OLE_LINK4"/>
            <w:bookmarkStart w:id="151" w:name="OLE_LINK3"/>
            <w:r>
              <w:rPr>
                <w:rFonts w:hint="eastAsia" w:cs="宋体" w:asciiTheme="minorEastAsia" w:hAnsiTheme="minorEastAsia"/>
                <w:bCs/>
                <w:color w:val="000000" w:themeColor="text1"/>
                <w:szCs w:val="21"/>
                <w14:textFill>
                  <w14:solidFill>
                    <w14:schemeClr w14:val="tx1"/>
                  </w14:solidFill>
                </w14:textFill>
              </w:rPr>
              <w:t>临床路径</w:t>
            </w:r>
            <w:bookmarkEnd w:id="150"/>
            <w:bookmarkEnd w:id="151"/>
          </w:p>
        </w:tc>
        <w:tc>
          <w:tcPr>
            <w:tcW w:w="545" w:type="pct"/>
            <w:shd w:val="clear" w:color="auto" w:fill="auto"/>
          </w:tcPr>
          <w:p w14:paraId="4E3B4714">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1套</w:t>
            </w:r>
          </w:p>
        </w:tc>
      </w:tr>
      <w:tr w14:paraId="2C77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41C75D6F">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shd w:val="clear" w:color="auto" w:fill="auto"/>
          </w:tcPr>
          <w:p w14:paraId="3E504A78">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4</w:t>
            </w:r>
          </w:p>
        </w:tc>
        <w:tc>
          <w:tcPr>
            <w:tcW w:w="3464" w:type="pct"/>
            <w:shd w:val="clear" w:color="auto" w:fill="auto"/>
          </w:tcPr>
          <w:p w14:paraId="137F88FD">
            <w:pPr>
              <w:spacing w:line="240" w:lineRule="atLeast"/>
              <w:rPr>
                <w:rFonts w:cs="宋体" w:asciiTheme="minorEastAsia" w:hAnsiTheme="minorEastAsia"/>
                <w:bCs/>
                <w:color w:val="000000" w:themeColor="text1"/>
                <w:szCs w:val="21"/>
                <w14:textFill>
                  <w14:solidFill>
                    <w14:schemeClr w14:val="tx1"/>
                  </w14:solidFill>
                </w14:textFill>
              </w:rPr>
            </w:pPr>
            <w:bookmarkStart w:id="152" w:name="OLE_LINK1"/>
            <w:bookmarkStart w:id="153" w:name="OLE_LINK2"/>
            <w:r>
              <w:rPr>
                <w:rFonts w:hint="eastAsia" w:cs="宋体" w:asciiTheme="minorEastAsia" w:hAnsiTheme="minorEastAsia"/>
                <w:bCs/>
                <w:color w:val="000000" w:themeColor="text1"/>
                <w:szCs w:val="21"/>
                <w14:textFill>
                  <w14:solidFill>
                    <w14:schemeClr w14:val="tx1"/>
                  </w14:solidFill>
                </w14:textFill>
              </w:rPr>
              <w:t>电子票据</w:t>
            </w:r>
            <w:bookmarkEnd w:id="152"/>
            <w:bookmarkEnd w:id="153"/>
            <w:r>
              <w:rPr>
                <w:rFonts w:hint="eastAsia" w:cs="宋体" w:asciiTheme="minorEastAsia" w:hAnsiTheme="minorEastAsia"/>
                <w:bCs/>
                <w:color w:val="000000" w:themeColor="text1"/>
                <w:szCs w:val="21"/>
                <w14:textFill>
                  <w14:solidFill>
                    <w14:schemeClr w14:val="tx1"/>
                  </w14:solidFill>
                </w14:textFill>
              </w:rPr>
              <w:t>管理信息系统</w:t>
            </w:r>
          </w:p>
        </w:tc>
        <w:tc>
          <w:tcPr>
            <w:tcW w:w="545" w:type="pct"/>
            <w:shd w:val="clear" w:color="auto" w:fill="auto"/>
          </w:tcPr>
          <w:p w14:paraId="53F5A3E7">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1套</w:t>
            </w:r>
          </w:p>
        </w:tc>
      </w:tr>
      <w:tr w14:paraId="254D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60094B46">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shd w:val="clear" w:color="auto" w:fill="auto"/>
          </w:tcPr>
          <w:p w14:paraId="311BF20A">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5</w:t>
            </w:r>
          </w:p>
        </w:tc>
        <w:tc>
          <w:tcPr>
            <w:tcW w:w="3464" w:type="pct"/>
            <w:shd w:val="clear" w:color="auto" w:fill="auto"/>
          </w:tcPr>
          <w:p w14:paraId="283AD5F5">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综合预约管理系统（挂号、分诊、排队叫号、超声、放射）</w:t>
            </w:r>
          </w:p>
        </w:tc>
        <w:tc>
          <w:tcPr>
            <w:tcW w:w="545" w:type="pct"/>
            <w:shd w:val="clear" w:color="auto" w:fill="auto"/>
          </w:tcPr>
          <w:p w14:paraId="53D0A0F9">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1套</w:t>
            </w:r>
          </w:p>
        </w:tc>
      </w:tr>
      <w:tr w14:paraId="2376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592CE941">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shd w:val="clear" w:color="auto" w:fill="auto"/>
          </w:tcPr>
          <w:p w14:paraId="0283AC63">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6</w:t>
            </w:r>
          </w:p>
        </w:tc>
        <w:tc>
          <w:tcPr>
            <w:tcW w:w="3464" w:type="pct"/>
            <w:shd w:val="clear" w:color="auto" w:fill="auto"/>
          </w:tcPr>
          <w:p w14:paraId="5C9E8C8D">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排队叫号系统（大屏用）</w:t>
            </w:r>
          </w:p>
        </w:tc>
        <w:tc>
          <w:tcPr>
            <w:tcW w:w="545" w:type="pct"/>
            <w:shd w:val="clear" w:color="auto" w:fill="auto"/>
          </w:tcPr>
          <w:p w14:paraId="5E3FAF1D">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1套</w:t>
            </w:r>
          </w:p>
        </w:tc>
      </w:tr>
      <w:tr w14:paraId="77D4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restart"/>
            <w:shd w:val="clear" w:color="auto" w:fill="auto"/>
          </w:tcPr>
          <w:p w14:paraId="381E0DE4">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硬件部分</w:t>
            </w:r>
          </w:p>
        </w:tc>
        <w:tc>
          <w:tcPr>
            <w:tcW w:w="248" w:type="pct"/>
            <w:vMerge w:val="restart"/>
            <w:shd w:val="clear" w:color="auto" w:fill="auto"/>
          </w:tcPr>
          <w:p w14:paraId="48FD7E82">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7</w:t>
            </w:r>
          </w:p>
        </w:tc>
        <w:tc>
          <w:tcPr>
            <w:tcW w:w="3464" w:type="pct"/>
            <w:shd w:val="clear" w:color="auto" w:fill="auto"/>
          </w:tcPr>
          <w:p w14:paraId="06831E88">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lang w:bidi="ar"/>
                <w14:textFill>
                  <w14:solidFill>
                    <w14:schemeClr w14:val="tx1"/>
                  </w14:solidFill>
                </w14:textFill>
              </w:rPr>
              <w:t>22寸网络一体机</w:t>
            </w:r>
          </w:p>
        </w:tc>
        <w:tc>
          <w:tcPr>
            <w:tcW w:w="545" w:type="pct"/>
            <w:shd w:val="clear" w:color="auto" w:fill="auto"/>
          </w:tcPr>
          <w:p w14:paraId="40D4A44F">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35台</w:t>
            </w:r>
          </w:p>
        </w:tc>
      </w:tr>
      <w:tr w14:paraId="6D2A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0F9FFCD1">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vMerge w:val="continue"/>
            <w:shd w:val="clear" w:color="auto" w:fill="auto"/>
          </w:tcPr>
          <w:p w14:paraId="51A9EBA2">
            <w:pPr>
              <w:spacing w:line="240" w:lineRule="atLeast"/>
              <w:rPr>
                <w:rFonts w:cs="宋体" w:asciiTheme="minorEastAsia" w:hAnsiTheme="minorEastAsia"/>
                <w:bCs/>
                <w:color w:val="000000" w:themeColor="text1"/>
                <w:szCs w:val="21"/>
                <w14:textFill>
                  <w14:solidFill>
                    <w14:schemeClr w14:val="tx1"/>
                  </w14:solidFill>
                </w14:textFill>
              </w:rPr>
            </w:pPr>
          </w:p>
        </w:tc>
        <w:tc>
          <w:tcPr>
            <w:tcW w:w="3464" w:type="pct"/>
            <w:shd w:val="clear" w:color="auto" w:fill="auto"/>
          </w:tcPr>
          <w:p w14:paraId="0B861BB0">
            <w:pPr>
              <w:spacing w:line="240" w:lineRule="atLeast"/>
              <w:rPr>
                <w:rFonts w:cs="宋体" w:asciiTheme="minorEastAsia" w:hAnsiTheme="minorEastAsia"/>
                <w:color w:val="000000" w:themeColor="text1"/>
                <w:kern w:val="0"/>
                <w:szCs w:val="21"/>
                <w:lang w:bidi="ar"/>
                <w14:textFill>
                  <w14:solidFill>
                    <w14:schemeClr w14:val="tx1"/>
                  </w14:solidFill>
                </w14:textFill>
              </w:rPr>
            </w:pPr>
            <w:r>
              <w:rPr>
                <w:rStyle w:val="83"/>
                <w:rFonts w:hint="default" w:cs="宋体" w:asciiTheme="minorEastAsia" w:hAnsiTheme="minorEastAsia" w:eastAsiaTheme="minorEastAsia"/>
                <w:color w:val="000000" w:themeColor="text1"/>
                <w:sz w:val="21"/>
                <w:szCs w:val="21"/>
                <w:lang w:bidi="ar"/>
                <w14:textFill>
                  <w14:solidFill>
                    <w14:schemeClr w14:val="tx1"/>
                  </w14:solidFill>
                </w14:textFill>
              </w:rPr>
              <w:t>32寸网络一体机</w:t>
            </w:r>
          </w:p>
        </w:tc>
        <w:tc>
          <w:tcPr>
            <w:tcW w:w="545" w:type="pct"/>
            <w:shd w:val="clear" w:color="auto" w:fill="auto"/>
          </w:tcPr>
          <w:p w14:paraId="5A5BDEB0">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12台</w:t>
            </w:r>
          </w:p>
        </w:tc>
      </w:tr>
      <w:tr w14:paraId="5D1B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7B54D44F">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vMerge w:val="continue"/>
            <w:shd w:val="clear" w:color="auto" w:fill="auto"/>
          </w:tcPr>
          <w:p w14:paraId="61A1838C">
            <w:pPr>
              <w:spacing w:line="240" w:lineRule="atLeast"/>
              <w:rPr>
                <w:rFonts w:cs="宋体" w:asciiTheme="minorEastAsia" w:hAnsiTheme="minorEastAsia"/>
                <w:bCs/>
                <w:color w:val="000000" w:themeColor="text1"/>
                <w:szCs w:val="21"/>
                <w14:textFill>
                  <w14:solidFill>
                    <w14:schemeClr w14:val="tx1"/>
                  </w14:solidFill>
                </w14:textFill>
              </w:rPr>
            </w:pPr>
          </w:p>
        </w:tc>
        <w:tc>
          <w:tcPr>
            <w:tcW w:w="3464" w:type="pct"/>
            <w:shd w:val="clear" w:color="auto" w:fill="auto"/>
          </w:tcPr>
          <w:p w14:paraId="570D4E01">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lang w:bidi="ar"/>
                <w14:textFill>
                  <w14:solidFill>
                    <w14:schemeClr w14:val="tx1"/>
                  </w14:solidFill>
                </w14:textFill>
              </w:rPr>
              <w:t>43寸网络一体机</w:t>
            </w:r>
          </w:p>
        </w:tc>
        <w:tc>
          <w:tcPr>
            <w:tcW w:w="545" w:type="pct"/>
            <w:shd w:val="clear" w:color="auto" w:fill="auto"/>
          </w:tcPr>
          <w:p w14:paraId="5D09638B">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26台</w:t>
            </w:r>
          </w:p>
        </w:tc>
      </w:tr>
      <w:tr w14:paraId="6F89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262E6DBF">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vMerge w:val="continue"/>
            <w:shd w:val="clear" w:color="auto" w:fill="auto"/>
          </w:tcPr>
          <w:p w14:paraId="6B914458">
            <w:pPr>
              <w:spacing w:line="240" w:lineRule="atLeast"/>
              <w:rPr>
                <w:rFonts w:cs="宋体" w:asciiTheme="minorEastAsia" w:hAnsiTheme="minorEastAsia"/>
                <w:bCs/>
                <w:color w:val="000000" w:themeColor="text1"/>
                <w:szCs w:val="21"/>
                <w14:textFill>
                  <w14:solidFill>
                    <w14:schemeClr w14:val="tx1"/>
                  </w14:solidFill>
                </w14:textFill>
              </w:rPr>
            </w:pPr>
          </w:p>
        </w:tc>
        <w:tc>
          <w:tcPr>
            <w:tcW w:w="3464" w:type="pct"/>
            <w:shd w:val="clear" w:color="auto" w:fill="auto"/>
          </w:tcPr>
          <w:p w14:paraId="5E6697E5">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lang w:bidi="ar"/>
                <w14:textFill>
                  <w14:solidFill>
                    <w14:schemeClr w14:val="tx1"/>
                  </w14:solidFill>
                </w14:textFill>
              </w:rPr>
              <w:t>55寸网络一体机</w:t>
            </w:r>
          </w:p>
        </w:tc>
        <w:tc>
          <w:tcPr>
            <w:tcW w:w="545" w:type="pct"/>
            <w:shd w:val="clear" w:color="auto" w:fill="auto"/>
          </w:tcPr>
          <w:p w14:paraId="0689EF6E">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2台</w:t>
            </w:r>
          </w:p>
        </w:tc>
      </w:tr>
      <w:tr w14:paraId="433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616B8E76">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vMerge w:val="continue"/>
            <w:shd w:val="clear" w:color="auto" w:fill="auto"/>
          </w:tcPr>
          <w:p w14:paraId="2AF019AC">
            <w:pPr>
              <w:spacing w:line="240" w:lineRule="atLeast"/>
              <w:rPr>
                <w:rFonts w:cs="宋体" w:asciiTheme="minorEastAsia" w:hAnsiTheme="minorEastAsia"/>
                <w:bCs/>
                <w:color w:val="000000" w:themeColor="text1"/>
                <w:szCs w:val="21"/>
                <w14:textFill>
                  <w14:solidFill>
                    <w14:schemeClr w14:val="tx1"/>
                  </w14:solidFill>
                </w14:textFill>
              </w:rPr>
            </w:pPr>
          </w:p>
        </w:tc>
        <w:tc>
          <w:tcPr>
            <w:tcW w:w="3464" w:type="pct"/>
            <w:shd w:val="clear" w:color="auto" w:fill="auto"/>
          </w:tcPr>
          <w:p w14:paraId="269B2F2B">
            <w:pPr>
              <w:spacing w:line="240" w:lineRule="atLeast"/>
              <w:rPr>
                <w:rFonts w:cs="宋体" w:asciiTheme="minorEastAsia" w:hAnsiTheme="minorEastAsia"/>
                <w:color w:val="000000" w:themeColor="text1"/>
                <w:kern w:val="0"/>
                <w:szCs w:val="21"/>
                <w:lang w:bidi="ar"/>
                <w14:textFill>
                  <w14:solidFill>
                    <w14:schemeClr w14:val="tx1"/>
                  </w14:solidFill>
                </w14:textFill>
              </w:rPr>
            </w:pPr>
            <w:r>
              <w:rPr>
                <w:rFonts w:hint="eastAsia" w:cs="宋体" w:asciiTheme="minorEastAsia" w:hAnsiTheme="minorEastAsia"/>
                <w:color w:val="000000"/>
                <w:kern w:val="0"/>
                <w:szCs w:val="21"/>
                <w:lang w:bidi="ar"/>
              </w:rPr>
              <w:t>音源功率放大器</w:t>
            </w:r>
          </w:p>
        </w:tc>
        <w:tc>
          <w:tcPr>
            <w:tcW w:w="545" w:type="pct"/>
            <w:shd w:val="clear" w:color="auto" w:fill="auto"/>
          </w:tcPr>
          <w:p w14:paraId="31B89295">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10台</w:t>
            </w:r>
          </w:p>
        </w:tc>
      </w:tr>
      <w:tr w14:paraId="03A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4ED5068C">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vMerge w:val="continue"/>
            <w:shd w:val="clear" w:color="auto" w:fill="auto"/>
          </w:tcPr>
          <w:p w14:paraId="40EB392A">
            <w:pPr>
              <w:spacing w:line="240" w:lineRule="atLeast"/>
              <w:rPr>
                <w:rFonts w:cs="宋体" w:asciiTheme="minorEastAsia" w:hAnsiTheme="minorEastAsia"/>
                <w:bCs/>
                <w:color w:val="000000" w:themeColor="text1"/>
                <w:szCs w:val="21"/>
                <w14:textFill>
                  <w14:solidFill>
                    <w14:schemeClr w14:val="tx1"/>
                  </w14:solidFill>
                </w14:textFill>
              </w:rPr>
            </w:pPr>
          </w:p>
        </w:tc>
        <w:tc>
          <w:tcPr>
            <w:tcW w:w="3464" w:type="pct"/>
            <w:shd w:val="clear" w:color="auto" w:fill="auto"/>
          </w:tcPr>
          <w:p w14:paraId="4B19A40D">
            <w:pPr>
              <w:spacing w:line="240" w:lineRule="atLeast"/>
              <w:rPr>
                <w:rFonts w:hint="eastAsia" w:cs="宋体" w:asciiTheme="minorEastAsia" w:hAnsiTheme="minorEastAsia" w:eastAsiaTheme="minorEastAsia"/>
                <w:color w:val="000000"/>
                <w:kern w:val="0"/>
                <w:szCs w:val="21"/>
                <w:lang w:val="en-US" w:eastAsia="zh-CN" w:bidi="ar"/>
              </w:rPr>
            </w:pPr>
            <w:r>
              <w:rPr>
                <w:rFonts w:hint="eastAsia" w:cs="宋体" w:asciiTheme="minorEastAsia" w:hAnsiTheme="minorEastAsia"/>
                <w:color w:val="000000"/>
                <w:kern w:val="0"/>
                <w:szCs w:val="21"/>
                <w:lang w:val="en-US" w:eastAsia="zh-CN" w:bidi="ar"/>
              </w:rPr>
              <w:t>台式电脑</w:t>
            </w:r>
          </w:p>
        </w:tc>
        <w:tc>
          <w:tcPr>
            <w:tcW w:w="545" w:type="pct"/>
            <w:shd w:val="clear" w:color="auto" w:fill="auto"/>
          </w:tcPr>
          <w:p w14:paraId="1FE5EAE0">
            <w:pPr>
              <w:spacing w:line="240" w:lineRule="atLeas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en-US" w:eastAsia="zh-CN"/>
                <w14:textFill>
                  <w14:solidFill>
                    <w14:schemeClr w14:val="tx1"/>
                  </w14:solidFill>
                </w14:textFill>
              </w:rPr>
              <w:t>2台</w:t>
            </w:r>
          </w:p>
        </w:tc>
      </w:tr>
      <w:tr w14:paraId="168C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58E510DB">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vMerge w:val="continue"/>
            <w:shd w:val="clear" w:color="auto" w:fill="auto"/>
          </w:tcPr>
          <w:p w14:paraId="14B3B2E9">
            <w:pPr>
              <w:spacing w:line="240" w:lineRule="atLeast"/>
              <w:rPr>
                <w:rFonts w:cs="宋体" w:asciiTheme="minorEastAsia" w:hAnsiTheme="minorEastAsia"/>
                <w:bCs/>
                <w:color w:val="000000" w:themeColor="text1"/>
                <w:szCs w:val="21"/>
                <w14:textFill>
                  <w14:solidFill>
                    <w14:schemeClr w14:val="tx1"/>
                  </w14:solidFill>
                </w14:textFill>
              </w:rPr>
            </w:pPr>
          </w:p>
        </w:tc>
        <w:tc>
          <w:tcPr>
            <w:tcW w:w="3464" w:type="pct"/>
            <w:shd w:val="clear" w:color="auto" w:fill="auto"/>
          </w:tcPr>
          <w:p w14:paraId="23F40507">
            <w:pPr>
              <w:spacing w:line="240" w:lineRule="atLeast"/>
              <w:rPr>
                <w:rFonts w:cs="宋体" w:asciiTheme="minorEastAsia" w:hAnsiTheme="minorEastAsia"/>
                <w:color w:val="000000" w:themeColor="text1"/>
                <w:kern w:val="0"/>
                <w:szCs w:val="21"/>
                <w:lang w:bidi="ar"/>
                <w14:textFill>
                  <w14:solidFill>
                    <w14:schemeClr w14:val="tx1"/>
                  </w14:solidFill>
                </w14:textFill>
              </w:rPr>
            </w:pPr>
            <w:r>
              <w:rPr>
                <w:rFonts w:hint="eastAsia" w:cs="宋体" w:asciiTheme="minorEastAsia" w:hAnsiTheme="minorEastAsia"/>
                <w:color w:val="000000"/>
                <w:kern w:val="0"/>
                <w:szCs w:val="21"/>
                <w:lang w:bidi="ar"/>
              </w:rPr>
              <w:t>多媒体扬声器</w:t>
            </w:r>
          </w:p>
        </w:tc>
        <w:tc>
          <w:tcPr>
            <w:tcW w:w="545" w:type="pct"/>
            <w:shd w:val="clear" w:color="auto" w:fill="auto"/>
          </w:tcPr>
          <w:p w14:paraId="58C50EB6">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40个</w:t>
            </w:r>
          </w:p>
        </w:tc>
      </w:tr>
      <w:tr w14:paraId="46BE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vMerge w:val="continue"/>
            <w:shd w:val="clear" w:color="auto" w:fill="auto"/>
          </w:tcPr>
          <w:p w14:paraId="2EAB03A8">
            <w:pPr>
              <w:spacing w:line="240" w:lineRule="atLeast"/>
              <w:rPr>
                <w:rFonts w:cs="宋体" w:asciiTheme="minorEastAsia" w:hAnsiTheme="minorEastAsia"/>
                <w:bCs/>
                <w:color w:val="000000" w:themeColor="text1"/>
                <w:szCs w:val="21"/>
                <w14:textFill>
                  <w14:solidFill>
                    <w14:schemeClr w14:val="tx1"/>
                  </w14:solidFill>
                </w14:textFill>
              </w:rPr>
            </w:pPr>
          </w:p>
        </w:tc>
        <w:tc>
          <w:tcPr>
            <w:tcW w:w="248" w:type="pct"/>
            <w:vMerge w:val="continue"/>
            <w:shd w:val="clear" w:color="auto" w:fill="auto"/>
          </w:tcPr>
          <w:p w14:paraId="5B9561EF">
            <w:pPr>
              <w:spacing w:line="240" w:lineRule="atLeast"/>
              <w:rPr>
                <w:rFonts w:cs="宋体" w:asciiTheme="minorEastAsia" w:hAnsiTheme="minorEastAsia"/>
                <w:bCs/>
                <w:color w:val="000000" w:themeColor="text1"/>
                <w:szCs w:val="21"/>
                <w14:textFill>
                  <w14:solidFill>
                    <w14:schemeClr w14:val="tx1"/>
                  </w14:solidFill>
                </w14:textFill>
              </w:rPr>
            </w:pPr>
          </w:p>
        </w:tc>
        <w:tc>
          <w:tcPr>
            <w:tcW w:w="3464" w:type="pct"/>
            <w:shd w:val="clear" w:color="auto" w:fill="auto"/>
          </w:tcPr>
          <w:p w14:paraId="7D18DC0F">
            <w:pPr>
              <w:spacing w:line="240" w:lineRule="atLeas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辅材、线材</w:t>
            </w:r>
          </w:p>
        </w:tc>
        <w:tc>
          <w:tcPr>
            <w:tcW w:w="545" w:type="pct"/>
            <w:shd w:val="clear" w:color="auto" w:fill="auto"/>
          </w:tcPr>
          <w:p w14:paraId="61AAB104">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1批</w:t>
            </w:r>
          </w:p>
        </w:tc>
      </w:tr>
      <w:tr w14:paraId="25A3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3" w:type="pct"/>
            <w:shd w:val="clear" w:color="auto" w:fill="auto"/>
          </w:tcPr>
          <w:p w14:paraId="6CF9E344">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网络安全</w:t>
            </w:r>
          </w:p>
        </w:tc>
        <w:tc>
          <w:tcPr>
            <w:tcW w:w="248" w:type="pct"/>
            <w:shd w:val="clear" w:color="auto" w:fill="auto"/>
          </w:tcPr>
          <w:p w14:paraId="40E4914D">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8</w:t>
            </w:r>
          </w:p>
        </w:tc>
        <w:tc>
          <w:tcPr>
            <w:tcW w:w="3464" w:type="pct"/>
            <w:shd w:val="clear" w:color="auto" w:fill="auto"/>
          </w:tcPr>
          <w:p w14:paraId="1C103120">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网络接入控制系统</w:t>
            </w:r>
          </w:p>
        </w:tc>
        <w:tc>
          <w:tcPr>
            <w:tcW w:w="545" w:type="pct"/>
            <w:shd w:val="clear" w:color="auto" w:fill="auto"/>
          </w:tcPr>
          <w:p w14:paraId="3A847A85">
            <w:pPr>
              <w:spacing w:line="240" w:lineRule="atLeas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1套</w:t>
            </w:r>
          </w:p>
        </w:tc>
      </w:tr>
    </w:tbl>
    <w:p w14:paraId="0A18B687">
      <w:pPr>
        <w:pStyle w:val="3"/>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2.2、技术参数要求</w:t>
      </w:r>
    </w:p>
    <w:p w14:paraId="7410457D">
      <w:pPr>
        <w:pStyle w:val="84"/>
        <w:ind w:left="0" w:firstLine="0"/>
        <w:rPr>
          <w:rFonts w:asciiTheme="minorEastAsia" w:hAnsiTheme="minorEastAsia" w:eastAsiaTheme="minorEastAsia"/>
        </w:rPr>
      </w:pPr>
      <w:r>
        <w:rPr>
          <w:rFonts w:asciiTheme="minorEastAsia" w:hAnsiTheme="minorEastAsia" w:eastAsiaTheme="minorEastAsia"/>
        </w:rPr>
        <w:t>2.2.1</w:t>
      </w:r>
      <w:r>
        <w:rPr>
          <w:rFonts w:hint="eastAsia" w:asciiTheme="minorEastAsia" w:hAnsiTheme="minorEastAsia" w:eastAsiaTheme="minorEastAsia"/>
        </w:rPr>
        <w:t>不良事件管理系统</w:t>
      </w:r>
    </w:p>
    <w:p w14:paraId="27D9CCA5">
      <w:pPr>
        <w:spacing w:after="27" w:line="259" w:lineRule="auto"/>
        <w:ind w:firstLine="560" w:firstLineChars="200"/>
        <w:rPr>
          <w:rFonts w:ascii="宋体" w:hAnsi="宋体" w:eastAsia="宋体" w:cs="宋体"/>
          <w:sz w:val="24"/>
          <w:szCs w:val="24"/>
        </w:rPr>
      </w:pPr>
      <w:r>
        <w:rPr>
          <w:rFonts w:hint="eastAsia" w:ascii="宋体" w:hAnsi="宋体" w:eastAsia="宋体" w:cs="宋体"/>
          <w:sz w:val="28"/>
          <w:szCs w:val="28"/>
        </w:rPr>
        <w:t>系统采用B/S架构，支持多用户多角色层级管理；设有事件上报流转审批、分级管理、数据统计等功能；支持院内不良事件的深度分析和效果追踪，自动生成多种统计图表和分析报告，并可导出为word及pdf文档。</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110" w:type="dxa"/>
          <w:bottom w:w="0" w:type="dxa"/>
          <w:right w:w="115" w:type="dxa"/>
        </w:tblCellMar>
      </w:tblPr>
      <w:tblGrid>
        <w:gridCol w:w="821"/>
        <w:gridCol w:w="1547"/>
        <w:gridCol w:w="7892"/>
      </w:tblGrid>
      <w:tr w14:paraId="364C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10" w:type="dxa"/>
            <w:bottom w:w="0" w:type="dxa"/>
            <w:right w:w="115" w:type="dxa"/>
          </w:tblCellMar>
        </w:tblPrEx>
        <w:trPr>
          <w:trHeight w:val="20" w:hRule="atLeast"/>
          <w:jc w:val="center"/>
        </w:trPr>
        <w:tc>
          <w:tcPr>
            <w:tcW w:w="400" w:type="pct"/>
            <w:shd w:val="clear" w:color="auto" w:fill="auto"/>
            <w:vAlign w:val="center"/>
          </w:tcPr>
          <w:p w14:paraId="6C210210">
            <w:pPr>
              <w:spacing w:line="240" w:lineRule="atLeast"/>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一级功能</w:t>
            </w:r>
          </w:p>
        </w:tc>
        <w:tc>
          <w:tcPr>
            <w:tcW w:w="754" w:type="pct"/>
            <w:shd w:val="clear" w:color="auto" w:fill="auto"/>
            <w:vAlign w:val="center"/>
          </w:tcPr>
          <w:p w14:paraId="45E04579">
            <w:pPr>
              <w:spacing w:line="240" w:lineRule="atLeast"/>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二级功能</w:t>
            </w:r>
          </w:p>
        </w:tc>
        <w:tc>
          <w:tcPr>
            <w:tcW w:w="3847" w:type="pct"/>
            <w:shd w:val="clear" w:color="auto" w:fill="auto"/>
            <w:vAlign w:val="center"/>
          </w:tcPr>
          <w:p w14:paraId="6C26C188">
            <w:pPr>
              <w:spacing w:line="240" w:lineRule="atLeast"/>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功能参数要求</w:t>
            </w:r>
          </w:p>
        </w:tc>
      </w:tr>
      <w:tr w14:paraId="05EB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10" w:type="dxa"/>
            <w:bottom w:w="0" w:type="dxa"/>
            <w:right w:w="115" w:type="dxa"/>
          </w:tblCellMar>
        </w:tblPrEx>
        <w:trPr>
          <w:trHeight w:val="20" w:hRule="atLeast"/>
          <w:jc w:val="center"/>
        </w:trPr>
        <w:tc>
          <w:tcPr>
            <w:tcW w:w="400" w:type="pct"/>
            <w:vMerge w:val="restart"/>
            <w:shd w:val="clear" w:color="auto" w:fill="auto"/>
          </w:tcPr>
          <w:p w14:paraId="79EB3554">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数据填报</w:t>
            </w:r>
          </w:p>
        </w:tc>
        <w:tc>
          <w:tcPr>
            <w:tcW w:w="754" w:type="pct"/>
            <w:shd w:val="clear" w:color="auto" w:fill="auto"/>
          </w:tcPr>
          <w:p w14:paraId="26DBD4A4">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事件类型</w:t>
            </w:r>
          </w:p>
        </w:tc>
        <w:tc>
          <w:tcPr>
            <w:tcW w:w="3847" w:type="pct"/>
            <w:shd w:val="clear" w:color="auto" w:fill="auto"/>
          </w:tcPr>
          <w:p w14:paraId="375D24A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分为8个大类68个子类</w:t>
            </w:r>
          </w:p>
          <w:p w14:paraId="6BB4A69A">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医疗事件（医疗处置意外、麻醉意外、手术并发症等）</w:t>
            </w:r>
          </w:p>
          <w:p w14:paraId="0E24009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药品事件（处方/医嘱错误、调剂与管理错误、药品用法错误、药物不良反应、化妆品不良反应等）</w:t>
            </w:r>
          </w:p>
          <w:p w14:paraId="3CB5043F">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护理事件（跌倒/坠床、烧烫伤、压疮、误吸、误咽、窒息、管路事件等）</w:t>
            </w:r>
          </w:p>
          <w:p w14:paraId="398B283C">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医学技术检查事件（标本采集（检验、病理）错误、功能检查错误、医学影像错误等）</w:t>
            </w:r>
          </w:p>
          <w:p w14:paraId="6ED2C94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输血事件（配型错误、血型错误、错误输注患者等）</w:t>
            </w:r>
          </w:p>
          <w:p w14:paraId="5EC8BF0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医院感染事件（呼吸机所致肺炎、留置导尿管相关泌尿系统感染、血管导管相关血流感染、生殖道感染、手术部位感染、口腔感染、职业暴露等）</w:t>
            </w:r>
          </w:p>
          <w:p w14:paraId="400F8E1D">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医疗器械事件（机械类设备故障、电器电路故障、设备软件故障、医疗耗材类故障等）</w:t>
            </w:r>
          </w:p>
          <w:p w14:paraId="3804F23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安全管理意外伤害事件（患者走失、自杀事件、产房新生儿抱错、擅自离院等）</w:t>
            </w:r>
          </w:p>
        </w:tc>
      </w:tr>
      <w:tr w14:paraId="318A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10" w:type="dxa"/>
            <w:bottom w:w="0" w:type="dxa"/>
            <w:right w:w="115" w:type="dxa"/>
          </w:tblCellMar>
        </w:tblPrEx>
        <w:trPr>
          <w:trHeight w:val="20" w:hRule="atLeast"/>
          <w:jc w:val="center"/>
        </w:trPr>
        <w:tc>
          <w:tcPr>
            <w:tcW w:w="400" w:type="pct"/>
            <w:vMerge w:val="continue"/>
            <w:shd w:val="clear" w:color="auto" w:fill="auto"/>
          </w:tcPr>
          <w:p w14:paraId="3E58293B">
            <w:pPr>
              <w:spacing w:line="240" w:lineRule="atLeast"/>
              <w:jc w:val="left"/>
              <w:rPr>
                <w:rFonts w:cs="宋体" w:asciiTheme="minorEastAsia" w:hAnsiTheme="minorEastAsia"/>
                <w:color w:val="000000"/>
                <w:kern w:val="0"/>
                <w:szCs w:val="21"/>
              </w:rPr>
            </w:pPr>
          </w:p>
        </w:tc>
        <w:tc>
          <w:tcPr>
            <w:tcW w:w="754" w:type="pct"/>
            <w:shd w:val="clear" w:color="auto" w:fill="auto"/>
          </w:tcPr>
          <w:p w14:paraId="405398C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填报内容</w:t>
            </w:r>
          </w:p>
        </w:tc>
        <w:tc>
          <w:tcPr>
            <w:tcW w:w="3847" w:type="pct"/>
            <w:shd w:val="clear" w:color="auto" w:fill="auto"/>
          </w:tcPr>
          <w:p w14:paraId="4B0F837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事件内容、一般情况、现场情况</w:t>
            </w:r>
          </w:p>
          <w:p w14:paraId="1C042C0D">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事件级别、纠纷情况</w:t>
            </w:r>
          </w:p>
          <w:p w14:paraId="04A2E0E4">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涉事工作人员情况、报告者信息</w:t>
            </w:r>
          </w:p>
          <w:p w14:paraId="23AA6E9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整改措施、部门处理情况</w:t>
            </w:r>
          </w:p>
          <w:p w14:paraId="68D272E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针对不同事件类型设置事件填报内容</w:t>
            </w:r>
          </w:p>
        </w:tc>
      </w:tr>
      <w:tr w14:paraId="4B12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10" w:type="dxa"/>
            <w:bottom w:w="0" w:type="dxa"/>
            <w:right w:w="115" w:type="dxa"/>
          </w:tblCellMar>
        </w:tblPrEx>
        <w:trPr>
          <w:trHeight w:val="20" w:hRule="atLeast"/>
          <w:jc w:val="center"/>
        </w:trPr>
        <w:tc>
          <w:tcPr>
            <w:tcW w:w="400" w:type="pct"/>
            <w:vMerge w:val="continue"/>
            <w:shd w:val="clear" w:color="auto" w:fill="auto"/>
          </w:tcPr>
          <w:p w14:paraId="196BBB0B">
            <w:pPr>
              <w:spacing w:line="240" w:lineRule="atLeast"/>
              <w:jc w:val="left"/>
              <w:rPr>
                <w:rFonts w:cs="宋体" w:asciiTheme="minorEastAsia" w:hAnsiTheme="minorEastAsia"/>
                <w:color w:val="000000"/>
                <w:kern w:val="0"/>
                <w:szCs w:val="21"/>
              </w:rPr>
            </w:pPr>
          </w:p>
        </w:tc>
        <w:tc>
          <w:tcPr>
            <w:tcW w:w="754" w:type="pct"/>
            <w:shd w:val="clear" w:color="auto" w:fill="auto"/>
          </w:tcPr>
          <w:p w14:paraId="1B47787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填报形式</w:t>
            </w:r>
          </w:p>
        </w:tc>
        <w:tc>
          <w:tcPr>
            <w:tcW w:w="3847" w:type="pct"/>
            <w:shd w:val="clear" w:color="auto" w:fill="auto"/>
          </w:tcPr>
          <w:p w14:paraId="02355E6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支持实名及匿名两种上报模式</w:t>
            </w:r>
          </w:p>
          <w:p w14:paraId="6FF2B8C9">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自动获取患者基本信息</w:t>
            </w:r>
          </w:p>
          <w:p w14:paraId="4F79B0F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支持上传附件及手动录入相关信息</w:t>
            </w:r>
          </w:p>
        </w:tc>
      </w:tr>
      <w:tr w14:paraId="6929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03F5D302">
            <w:pPr>
              <w:spacing w:line="240" w:lineRule="atLeast"/>
              <w:jc w:val="left"/>
              <w:rPr>
                <w:rFonts w:cs="宋体" w:asciiTheme="minorEastAsia" w:hAnsiTheme="minorEastAsia"/>
                <w:color w:val="000000"/>
                <w:kern w:val="0"/>
                <w:szCs w:val="21"/>
              </w:rPr>
            </w:pPr>
          </w:p>
        </w:tc>
        <w:tc>
          <w:tcPr>
            <w:tcW w:w="754" w:type="pct"/>
            <w:shd w:val="clear" w:color="auto" w:fill="auto"/>
          </w:tcPr>
          <w:p w14:paraId="2DCBCE0D">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查询数据</w:t>
            </w:r>
          </w:p>
        </w:tc>
        <w:tc>
          <w:tcPr>
            <w:tcW w:w="3847" w:type="pct"/>
            <w:shd w:val="clear" w:color="auto" w:fill="auto"/>
          </w:tcPr>
          <w:p w14:paraId="4BBE63AD">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查看当前用户的上报记录</w:t>
            </w:r>
          </w:p>
          <w:p w14:paraId="5C5E1BA9">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了解上报的数据状态及各级的审核意见</w:t>
            </w:r>
          </w:p>
        </w:tc>
      </w:tr>
      <w:tr w14:paraId="7B40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restart"/>
            <w:shd w:val="clear" w:color="auto" w:fill="auto"/>
          </w:tcPr>
          <w:p w14:paraId="58A133B1">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数据管理</w:t>
            </w:r>
          </w:p>
        </w:tc>
        <w:tc>
          <w:tcPr>
            <w:tcW w:w="754" w:type="pct"/>
            <w:shd w:val="clear" w:color="auto" w:fill="auto"/>
          </w:tcPr>
          <w:p w14:paraId="7A01499A">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数据检索</w:t>
            </w:r>
          </w:p>
        </w:tc>
        <w:tc>
          <w:tcPr>
            <w:tcW w:w="3847" w:type="pct"/>
            <w:shd w:val="clear" w:color="auto" w:fill="auto"/>
          </w:tcPr>
          <w:p w14:paraId="100ADC1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支持按需进行数据检索（如日期类型、事件类型、事件级别、起止时间等）</w:t>
            </w:r>
          </w:p>
        </w:tc>
      </w:tr>
      <w:tr w14:paraId="3AA6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46A951E6">
            <w:pPr>
              <w:spacing w:line="240" w:lineRule="atLeast"/>
              <w:jc w:val="left"/>
              <w:rPr>
                <w:rFonts w:cs="宋体" w:asciiTheme="minorEastAsia" w:hAnsiTheme="minorEastAsia"/>
                <w:color w:val="000000"/>
                <w:kern w:val="0"/>
                <w:szCs w:val="21"/>
              </w:rPr>
            </w:pPr>
          </w:p>
        </w:tc>
        <w:tc>
          <w:tcPr>
            <w:tcW w:w="754" w:type="pct"/>
            <w:shd w:val="clear" w:color="auto" w:fill="auto"/>
          </w:tcPr>
          <w:p w14:paraId="1C079D29">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数据审核</w:t>
            </w:r>
          </w:p>
        </w:tc>
        <w:tc>
          <w:tcPr>
            <w:tcW w:w="3847" w:type="pct"/>
            <w:shd w:val="clear" w:color="auto" w:fill="auto"/>
          </w:tcPr>
          <w:p w14:paraId="2B535FD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数据可显示为待审核、已审核、退回、作废等状态</w:t>
            </w:r>
          </w:p>
          <w:p w14:paraId="1282918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支持时间轴显示数据的及时动态</w:t>
            </w:r>
          </w:p>
          <w:p w14:paraId="0C6BD30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各级数据管理员可对上报数据进行审核、编辑、退回及作废、流转等操作</w:t>
            </w:r>
          </w:p>
          <w:p w14:paraId="1C73C841">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记录数据操作日志</w:t>
            </w:r>
          </w:p>
        </w:tc>
      </w:tr>
      <w:tr w14:paraId="34DF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02B61A95">
            <w:pPr>
              <w:spacing w:line="240" w:lineRule="atLeast"/>
              <w:jc w:val="left"/>
              <w:rPr>
                <w:rFonts w:cs="宋体" w:asciiTheme="minorEastAsia" w:hAnsiTheme="minorEastAsia"/>
                <w:color w:val="000000"/>
                <w:kern w:val="0"/>
                <w:szCs w:val="21"/>
              </w:rPr>
            </w:pPr>
          </w:p>
        </w:tc>
        <w:tc>
          <w:tcPr>
            <w:tcW w:w="754" w:type="pct"/>
            <w:shd w:val="clear" w:color="auto" w:fill="auto"/>
          </w:tcPr>
          <w:p w14:paraId="2E3EAD3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数据处理</w:t>
            </w:r>
          </w:p>
        </w:tc>
        <w:tc>
          <w:tcPr>
            <w:tcW w:w="3847" w:type="pct"/>
            <w:shd w:val="clear" w:color="auto" w:fill="auto"/>
          </w:tcPr>
          <w:p w14:paraId="4FF9E19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记录各级数据管理员对上报数据问题分析及改进措施</w:t>
            </w:r>
          </w:p>
        </w:tc>
      </w:tr>
      <w:tr w14:paraId="7963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54E4DB4A">
            <w:pPr>
              <w:spacing w:line="240" w:lineRule="atLeast"/>
              <w:jc w:val="left"/>
              <w:rPr>
                <w:rFonts w:cs="宋体" w:asciiTheme="minorEastAsia" w:hAnsiTheme="minorEastAsia"/>
                <w:color w:val="000000"/>
                <w:kern w:val="0"/>
                <w:szCs w:val="21"/>
              </w:rPr>
            </w:pPr>
          </w:p>
        </w:tc>
        <w:tc>
          <w:tcPr>
            <w:tcW w:w="754" w:type="pct"/>
            <w:shd w:val="clear" w:color="auto" w:fill="auto"/>
          </w:tcPr>
          <w:p w14:paraId="6F679C84">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数据追踪</w:t>
            </w:r>
          </w:p>
        </w:tc>
        <w:tc>
          <w:tcPr>
            <w:tcW w:w="3847" w:type="pct"/>
            <w:shd w:val="clear" w:color="auto" w:fill="auto"/>
          </w:tcPr>
          <w:p w14:paraId="0FD25F7A">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追踪各部门处理情况及事件结果</w:t>
            </w:r>
          </w:p>
        </w:tc>
      </w:tr>
      <w:tr w14:paraId="35B3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7214361B">
            <w:pPr>
              <w:spacing w:line="240" w:lineRule="atLeast"/>
              <w:jc w:val="left"/>
              <w:rPr>
                <w:rFonts w:cs="宋体" w:asciiTheme="minorEastAsia" w:hAnsiTheme="minorEastAsia"/>
                <w:color w:val="000000"/>
                <w:kern w:val="0"/>
                <w:szCs w:val="21"/>
              </w:rPr>
            </w:pPr>
          </w:p>
        </w:tc>
        <w:tc>
          <w:tcPr>
            <w:tcW w:w="754" w:type="pct"/>
            <w:shd w:val="clear" w:color="auto" w:fill="auto"/>
          </w:tcPr>
          <w:p w14:paraId="1807978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回收站</w:t>
            </w:r>
          </w:p>
        </w:tc>
        <w:tc>
          <w:tcPr>
            <w:tcW w:w="3847" w:type="pct"/>
            <w:shd w:val="clear" w:color="auto" w:fill="auto"/>
          </w:tcPr>
          <w:p w14:paraId="4E78094B">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支持对误删数据的还原</w:t>
            </w:r>
          </w:p>
        </w:tc>
      </w:tr>
      <w:tr w14:paraId="2657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restart"/>
            <w:shd w:val="clear" w:color="auto" w:fill="auto"/>
          </w:tcPr>
          <w:p w14:paraId="59A670BF">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数据统计</w:t>
            </w:r>
          </w:p>
        </w:tc>
        <w:tc>
          <w:tcPr>
            <w:tcW w:w="754" w:type="pct"/>
            <w:shd w:val="clear" w:color="auto" w:fill="auto"/>
          </w:tcPr>
          <w:p w14:paraId="1B9831D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整体统计</w:t>
            </w:r>
          </w:p>
        </w:tc>
        <w:tc>
          <w:tcPr>
            <w:tcW w:w="3847" w:type="pct"/>
            <w:shd w:val="clear" w:color="auto" w:fill="auto"/>
          </w:tcPr>
          <w:p w14:paraId="08683FB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支持多类型数据汇总统计（如事件总量、科室上报情况、上报员上报情况、报告者、事件上报情况、部门处理事件情况、事件处理响应时间、发生科室及事件级别等）</w:t>
            </w:r>
          </w:p>
          <w:p w14:paraId="742E405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支持不同时间段的数据对比统计</w:t>
            </w:r>
          </w:p>
        </w:tc>
      </w:tr>
      <w:tr w14:paraId="1D19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3A238518">
            <w:pPr>
              <w:spacing w:line="240" w:lineRule="atLeast"/>
              <w:jc w:val="left"/>
              <w:rPr>
                <w:rFonts w:cs="宋体" w:asciiTheme="minorEastAsia" w:hAnsiTheme="minorEastAsia"/>
                <w:color w:val="000000"/>
                <w:kern w:val="0"/>
                <w:szCs w:val="21"/>
              </w:rPr>
            </w:pPr>
          </w:p>
        </w:tc>
        <w:tc>
          <w:tcPr>
            <w:tcW w:w="754" w:type="pct"/>
            <w:shd w:val="clear" w:color="auto" w:fill="auto"/>
          </w:tcPr>
          <w:p w14:paraId="5BD1A17F">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指标统计</w:t>
            </w:r>
          </w:p>
        </w:tc>
        <w:tc>
          <w:tcPr>
            <w:tcW w:w="3847" w:type="pct"/>
            <w:shd w:val="clear" w:color="auto" w:fill="auto"/>
          </w:tcPr>
          <w:p w14:paraId="37CDB42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支持多指标按时间段进行单项统计（如事件一般情况、患者情况、现场情况等）</w:t>
            </w:r>
          </w:p>
        </w:tc>
      </w:tr>
      <w:tr w14:paraId="222D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1E0D7A53">
            <w:pPr>
              <w:spacing w:line="240" w:lineRule="atLeast"/>
              <w:jc w:val="left"/>
              <w:rPr>
                <w:rFonts w:cs="宋体" w:asciiTheme="minorEastAsia" w:hAnsiTheme="minorEastAsia"/>
                <w:color w:val="000000"/>
                <w:kern w:val="0"/>
                <w:szCs w:val="21"/>
              </w:rPr>
            </w:pPr>
          </w:p>
        </w:tc>
        <w:tc>
          <w:tcPr>
            <w:tcW w:w="754" w:type="pct"/>
            <w:shd w:val="clear" w:color="auto" w:fill="auto"/>
          </w:tcPr>
          <w:p w14:paraId="4D73D50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结果展现</w:t>
            </w:r>
          </w:p>
        </w:tc>
        <w:tc>
          <w:tcPr>
            <w:tcW w:w="3847" w:type="pct"/>
            <w:shd w:val="clear" w:color="auto" w:fill="auto"/>
          </w:tcPr>
          <w:p w14:paraId="27B0A05A">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统计结果多形式展现（如：柱状图、饼图、统计表等）</w:t>
            </w:r>
          </w:p>
        </w:tc>
      </w:tr>
      <w:tr w14:paraId="474E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64BEBE0D">
            <w:pPr>
              <w:spacing w:line="240" w:lineRule="atLeast"/>
              <w:jc w:val="left"/>
              <w:rPr>
                <w:rFonts w:cs="宋体" w:asciiTheme="minorEastAsia" w:hAnsiTheme="minorEastAsia"/>
                <w:color w:val="000000"/>
                <w:kern w:val="0"/>
                <w:szCs w:val="21"/>
              </w:rPr>
            </w:pPr>
          </w:p>
        </w:tc>
        <w:tc>
          <w:tcPr>
            <w:tcW w:w="754" w:type="pct"/>
            <w:shd w:val="clear" w:color="auto" w:fill="auto"/>
          </w:tcPr>
          <w:p w14:paraId="0587C034">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事件</w:t>
            </w:r>
          </w:p>
          <w:p w14:paraId="30A747A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鱼骨图</w:t>
            </w:r>
          </w:p>
        </w:tc>
        <w:tc>
          <w:tcPr>
            <w:tcW w:w="3847" w:type="pct"/>
            <w:shd w:val="clear" w:color="auto" w:fill="auto"/>
          </w:tcPr>
          <w:p w14:paraId="326F7E19">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利用鱼骨图从“人机料法环”多方面对整体及单个不良事件进行分析。</w:t>
            </w:r>
          </w:p>
        </w:tc>
      </w:tr>
      <w:tr w14:paraId="7FF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19BFA74B">
            <w:pPr>
              <w:spacing w:line="240" w:lineRule="atLeast"/>
              <w:jc w:val="left"/>
              <w:rPr>
                <w:rFonts w:cs="宋体" w:asciiTheme="minorEastAsia" w:hAnsiTheme="minorEastAsia"/>
                <w:color w:val="000000"/>
                <w:kern w:val="0"/>
                <w:szCs w:val="21"/>
              </w:rPr>
            </w:pPr>
          </w:p>
        </w:tc>
        <w:tc>
          <w:tcPr>
            <w:tcW w:w="754" w:type="pct"/>
            <w:shd w:val="clear" w:color="auto" w:fill="auto"/>
          </w:tcPr>
          <w:p w14:paraId="6317062D">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根因分析（RCA）</w:t>
            </w:r>
          </w:p>
        </w:tc>
        <w:tc>
          <w:tcPr>
            <w:tcW w:w="3847" w:type="pct"/>
            <w:shd w:val="clear" w:color="auto" w:fill="auto"/>
          </w:tcPr>
          <w:p w14:paraId="5CF0C20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设置根因分析模块，深入分析不良事件发生原因，自动生成分析报告</w:t>
            </w:r>
          </w:p>
        </w:tc>
      </w:tr>
      <w:tr w14:paraId="6F08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153A1336">
            <w:pPr>
              <w:spacing w:line="240" w:lineRule="atLeast"/>
              <w:jc w:val="left"/>
              <w:rPr>
                <w:rFonts w:cs="宋体" w:asciiTheme="minorEastAsia" w:hAnsiTheme="minorEastAsia"/>
                <w:color w:val="000000"/>
                <w:kern w:val="0"/>
                <w:szCs w:val="21"/>
              </w:rPr>
            </w:pPr>
          </w:p>
        </w:tc>
        <w:tc>
          <w:tcPr>
            <w:tcW w:w="754" w:type="pct"/>
            <w:shd w:val="clear" w:color="auto" w:fill="auto"/>
          </w:tcPr>
          <w:p w14:paraId="0872C6B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数据溯源</w:t>
            </w:r>
          </w:p>
        </w:tc>
        <w:tc>
          <w:tcPr>
            <w:tcW w:w="3847" w:type="pct"/>
            <w:shd w:val="clear" w:color="auto" w:fill="auto"/>
          </w:tcPr>
          <w:p w14:paraId="7F739AE7">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支持对统计指标数据的反向查看，了解数据详细信息</w:t>
            </w:r>
          </w:p>
        </w:tc>
      </w:tr>
      <w:tr w14:paraId="56BD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9" w:type="dxa"/>
            <w:left w:w="110" w:type="dxa"/>
            <w:bottom w:w="0" w:type="dxa"/>
            <w:right w:w="115" w:type="dxa"/>
          </w:tblCellMar>
        </w:tblPrEx>
        <w:trPr>
          <w:trHeight w:val="20" w:hRule="atLeast"/>
          <w:jc w:val="center"/>
        </w:trPr>
        <w:tc>
          <w:tcPr>
            <w:tcW w:w="400" w:type="pct"/>
            <w:vMerge w:val="continue"/>
            <w:shd w:val="clear" w:color="auto" w:fill="auto"/>
          </w:tcPr>
          <w:p w14:paraId="582DD797">
            <w:pPr>
              <w:spacing w:line="240" w:lineRule="atLeast"/>
              <w:jc w:val="left"/>
              <w:rPr>
                <w:rFonts w:cs="宋体" w:asciiTheme="minorEastAsia" w:hAnsiTheme="minorEastAsia"/>
                <w:color w:val="000000"/>
                <w:kern w:val="0"/>
                <w:szCs w:val="21"/>
              </w:rPr>
            </w:pPr>
          </w:p>
        </w:tc>
        <w:tc>
          <w:tcPr>
            <w:tcW w:w="754" w:type="pct"/>
            <w:shd w:val="clear" w:color="auto" w:fill="auto"/>
          </w:tcPr>
          <w:p w14:paraId="6E96C26A">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分析报告</w:t>
            </w:r>
          </w:p>
        </w:tc>
        <w:tc>
          <w:tcPr>
            <w:tcW w:w="3847" w:type="pct"/>
            <w:shd w:val="clear" w:color="auto" w:fill="auto"/>
          </w:tcPr>
          <w:p w14:paraId="1DEA804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可按照时间段（年、季、月）自动生成全院及职能科室不良事件分析报告</w:t>
            </w:r>
          </w:p>
        </w:tc>
      </w:tr>
      <w:tr w14:paraId="35A0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restart"/>
            <w:shd w:val="clear" w:color="auto" w:fill="auto"/>
          </w:tcPr>
          <w:p w14:paraId="2A010C41">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系统管理</w:t>
            </w:r>
          </w:p>
        </w:tc>
        <w:tc>
          <w:tcPr>
            <w:tcW w:w="754" w:type="pct"/>
            <w:shd w:val="clear" w:color="auto" w:fill="auto"/>
          </w:tcPr>
          <w:p w14:paraId="438D2339">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系统设置</w:t>
            </w:r>
          </w:p>
        </w:tc>
        <w:tc>
          <w:tcPr>
            <w:tcW w:w="3847" w:type="pct"/>
            <w:shd w:val="clear" w:color="auto" w:fill="auto"/>
          </w:tcPr>
          <w:p w14:paraId="663796A1">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设置医院基本信息</w:t>
            </w:r>
          </w:p>
          <w:p w14:paraId="080FD1C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按需求设置数据上报、数据流转、数据对接、用户设置等模块</w:t>
            </w:r>
          </w:p>
        </w:tc>
      </w:tr>
      <w:tr w14:paraId="6C09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616BC593">
            <w:pPr>
              <w:spacing w:line="240" w:lineRule="atLeast"/>
              <w:jc w:val="left"/>
              <w:rPr>
                <w:rFonts w:cs="宋体" w:asciiTheme="minorEastAsia" w:hAnsiTheme="minorEastAsia"/>
                <w:color w:val="000000"/>
                <w:kern w:val="0"/>
                <w:szCs w:val="21"/>
              </w:rPr>
            </w:pPr>
          </w:p>
        </w:tc>
        <w:tc>
          <w:tcPr>
            <w:tcW w:w="754" w:type="pct"/>
            <w:shd w:val="clear" w:color="auto" w:fill="auto"/>
          </w:tcPr>
          <w:p w14:paraId="57992BB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设置向导</w:t>
            </w:r>
          </w:p>
        </w:tc>
        <w:tc>
          <w:tcPr>
            <w:tcW w:w="3847" w:type="pct"/>
            <w:shd w:val="clear" w:color="auto" w:fill="auto"/>
          </w:tcPr>
          <w:p w14:paraId="7DE28EE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利用向导帮助用户完成系统设置</w:t>
            </w:r>
          </w:p>
        </w:tc>
      </w:tr>
      <w:tr w14:paraId="1EA1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45F97452">
            <w:pPr>
              <w:spacing w:line="240" w:lineRule="atLeast"/>
              <w:jc w:val="left"/>
              <w:rPr>
                <w:rFonts w:cs="宋体" w:asciiTheme="minorEastAsia" w:hAnsiTheme="minorEastAsia"/>
                <w:color w:val="000000"/>
                <w:kern w:val="0"/>
                <w:szCs w:val="21"/>
              </w:rPr>
            </w:pPr>
          </w:p>
        </w:tc>
        <w:tc>
          <w:tcPr>
            <w:tcW w:w="754" w:type="pct"/>
            <w:shd w:val="clear" w:color="auto" w:fill="auto"/>
          </w:tcPr>
          <w:p w14:paraId="488E496E">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角色管理</w:t>
            </w:r>
          </w:p>
        </w:tc>
        <w:tc>
          <w:tcPr>
            <w:tcW w:w="3847" w:type="pct"/>
            <w:shd w:val="clear" w:color="auto" w:fill="auto"/>
          </w:tcPr>
          <w:p w14:paraId="1DF511AE">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支持多角色、多层级的管理模式</w:t>
            </w:r>
          </w:p>
          <w:p w14:paraId="68958D8E">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支持自定义新建、修改、删除角色</w:t>
            </w:r>
          </w:p>
          <w:p w14:paraId="573A733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支持自定义角色权限</w:t>
            </w:r>
          </w:p>
        </w:tc>
      </w:tr>
      <w:tr w14:paraId="6413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0B562589">
            <w:pPr>
              <w:spacing w:line="240" w:lineRule="atLeast"/>
              <w:jc w:val="left"/>
              <w:rPr>
                <w:rFonts w:cs="宋体" w:asciiTheme="minorEastAsia" w:hAnsiTheme="minorEastAsia"/>
                <w:color w:val="000000"/>
                <w:kern w:val="0"/>
                <w:szCs w:val="21"/>
              </w:rPr>
            </w:pPr>
          </w:p>
        </w:tc>
        <w:tc>
          <w:tcPr>
            <w:tcW w:w="754" w:type="pct"/>
            <w:shd w:val="clear" w:color="auto" w:fill="auto"/>
          </w:tcPr>
          <w:p w14:paraId="51FC3437">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用户管理</w:t>
            </w:r>
          </w:p>
        </w:tc>
        <w:tc>
          <w:tcPr>
            <w:tcW w:w="3847" w:type="pct"/>
            <w:shd w:val="clear" w:color="auto" w:fill="auto"/>
          </w:tcPr>
          <w:p w14:paraId="762D8B3B">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可添加、修改、重命名、删除用户</w:t>
            </w:r>
          </w:p>
          <w:p w14:paraId="7D135C3E">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支持按科室、角色对用户进行分类</w:t>
            </w:r>
          </w:p>
          <w:p w14:paraId="5CD9137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支持科室轮转及科室合并</w:t>
            </w:r>
          </w:p>
          <w:p w14:paraId="2A219D9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支持批量分配角色和事件类型</w:t>
            </w:r>
          </w:p>
          <w:p w14:paraId="13591D7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支持批量导入医院参与不良事件上报的科室及人员列表</w:t>
            </w:r>
          </w:p>
          <w:p w14:paraId="7387AC7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科室人员调整后同步更新</w:t>
            </w:r>
          </w:p>
          <w:p w14:paraId="5976269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支持用户检索</w:t>
            </w:r>
          </w:p>
          <w:p w14:paraId="728DD5CA">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支持新用户注册、管理员审核</w:t>
            </w:r>
          </w:p>
        </w:tc>
      </w:tr>
      <w:tr w14:paraId="17E6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78F01F54">
            <w:pPr>
              <w:spacing w:line="240" w:lineRule="atLeast"/>
              <w:jc w:val="left"/>
              <w:rPr>
                <w:rFonts w:cs="宋体" w:asciiTheme="minorEastAsia" w:hAnsiTheme="minorEastAsia"/>
                <w:color w:val="000000"/>
                <w:kern w:val="0"/>
                <w:szCs w:val="21"/>
              </w:rPr>
            </w:pPr>
          </w:p>
        </w:tc>
        <w:tc>
          <w:tcPr>
            <w:tcW w:w="754" w:type="pct"/>
            <w:shd w:val="clear" w:color="auto" w:fill="auto"/>
          </w:tcPr>
          <w:p w14:paraId="089B81B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数据维护</w:t>
            </w:r>
          </w:p>
        </w:tc>
        <w:tc>
          <w:tcPr>
            <w:tcW w:w="3847" w:type="pct"/>
            <w:shd w:val="clear" w:color="auto" w:fill="auto"/>
          </w:tcPr>
          <w:p w14:paraId="2485E93E">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具有数据备份及还原功能</w:t>
            </w:r>
          </w:p>
          <w:p w14:paraId="71EEF729">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支持自动备份</w:t>
            </w:r>
          </w:p>
        </w:tc>
      </w:tr>
      <w:tr w14:paraId="153A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restart"/>
            <w:shd w:val="clear" w:color="auto" w:fill="auto"/>
          </w:tcPr>
          <w:p w14:paraId="22A5C5AE">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信息公告</w:t>
            </w:r>
          </w:p>
        </w:tc>
        <w:tc>
          <w:tcPr>
            <w:tcW w:w="754" w:type="pct"/>
            <w:shd w:val="clear" w:color="auto" w:fill="auto"/>
          </w:tcPr>
          <w:p w14:paraId="170CF59C">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公告管理</w:t>
            </w:r>
          </w:p>
        </w:tc>
        <w:tc>
          <w:tcPr>
            <w:tcW w:w="3847" w:type="pct"/>
            <w:shd w:val="clear" w:color="auto" w:fill="auto"/>
          </w:tcPr>
          <w:p w14:paraId="564BC93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对全院不良事件相关工作发布通知公告及各阶段报告</w:t>
            </w:r>
          </w:p>
          <w:p w14:paraId="644C75B7">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新消息提醒功能</w:t>
            </w:r>
          </w:p>
        </w:tc>
      </w:tr>
      <w:tr w14:paraId="677B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088F7AA0">
            <w:pPr>
              <w:spacing w:line="240" w:lineRule="atLeast"/>
              <w:jc w:val="left"/>
              <w:rPr>
                <w:rFonts w:cs="宋体" w:asciiTheme="minorEastAsia" w:hAnsiTheme="minorEastAsia"/>
                <w:color w:val="000000"/>
                <w:kern w:val="0"/>
                <w:szCs w:val="21"/>
              </w:rPr>
            </w:pPr>
          </w:p>
        </w:tc>
        <w:tc>
          <w:tcPr>
            <w:tcW w:w="754" w:type="pct"/>
            <w:shd w:val="clear" w:color="auto" w:fill="auto"/>
          </w:tcPr>
          <w:p w14:paraId="6746B1CE">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动态信息</w:t>
            </w:r>
          </w:p>
        </w:tc>
        <w:tc>
          <w:tcPr>
            <w:tcW w:w="3847" w:type="pct"/>
            <w:shd w:val="clear" w:color="auto" w:fill="auto"/>
          </w:tcPr>
          <w:p w14:paraId="273179B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数据状态更新后可及时收到信息提醒</w:t>
            </w:r>
          </w:p>
        </w:tc>
      </w:tr>
      <w:tr w14:paraId="08B5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2C6A0905">
            <w:pPr>
              <w:spacing w:line="240" w:lineRule="atLeast"/>
              <w:jc w:val="left"/>
              <w:rPr>
                <w:rFonts w:cs="宋体" w:asciiTheme="minorEastAsia" w:hAnsiTheme="minorEastAsia"/>
                <w:color w:val="000000"/>
                <w:kern w:val="0"/>
                <w:szCs w:val="21"/>
              </w:rPr>
            </w:pPr>
          </w:p>
        </w:tc>
        <w:tc>
          <w:tcPr>
            <w:tcW w:w="754" w:type="pct"/>
            <w:shd w:val="clear" w:color="auto" w:fill="auto"/>
          </w:tcPr>
          <w:p w14:paraId="041BC83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数据查阅</w:t>
            </w:r>
          </w:p>
        </w:tc>
        <w:tc>
          <w:tcPr>
            <w:tcW w:w="3847" w:type="pct"/>
            <w:shd w:val="clear" w:color="auto" w:fill="auto"/>
          </w:tcPr>
          <w:p w14:paraId="6CE75B9F">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预览上报数据详细信息，查看当前状态</w:t>
            </w:r>
          </w:p>
          <w:p w14:paraId="58CE3AF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支持填写【存在问题改进措施】【事件结果】【部门追踪】</w:t>
            </w:r>
          </w:p>
          <w:p w14:paraId="57B99AE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支持上传附件</w:t>
            </w:r>
          </w:p>
        </w:tc>
      </w:tr>
      <w:tr w14:paraId="676B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60A41ED5">
            <w:pPr>
              <w:spacing w:line="240" w:lineRule="atLeast"/>
              <w:jc w:val="left"/>
              <w:rPr>
                <w:rFonts w:cs="宋体" w:asciiTheme="minorEastAsia" w:hAnsiTheme="minorEastAsia"/>
                <w:color w:val="000000"/>
                <w:kern w:val="0"/>
                <w:szCs w:val="21"/>
              </w:rPr>
            </w:pPr>
          </w:p>
        </w:tc>
        <w:tc>
          <w:tcPr>
            <w:tcW w:w="754" w:type="pct"/>
            <w:shd w:val="clear" w:color="auto" w:fill="auto"/>
          </w:tcPr>
          <w:p w14:paraId="7CF2DE3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数据管理</w:t>
            </w:r>
          </w:p>
        </w:tc>
        <w:tc>
          <w:tcPr>
            <w:tcW w:w="3847" w:type="pct"/>
            <w:shd w:val="clear" w:color="auto" w:fill="auto"/>
          </w:tcPr>
          <w:p w14:paraId="258A46BB">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支持审核、退回、流转等操作</w:t>
            </w:r>
          </w:p>
        </w:tc>
      </w:tr>
      <w:tr w14:paraId="4C04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0476BF21">
            <w:pPr>
              <w:spacing w:line="240" w:lineRule="atLeast"/>
              <w:jc w:val="left"/>
              <w:rPr>
                <w:rFonts w:cs="宋体" w:asciiTheme="minorEastAsia" w:hAnsiTheme="minorEastAsia"/>
                <w:color w:val="000000"/>
                <w:kern w:val="0"/>
                <w:szCs w:val="21"/>
              </w:rPr>
            </w:pPr>
          </w:p>
        </w:tc>
        <w:tc>
          <w:tcPr>
            <w:tcW w:w="754" w:type="pct"/>
            <w:shd w:val="clear" w:color="auto" w:fill="auto"/>
          </w:tcPr>
          <w:p w14:paraId="250C05D0">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推送信息</w:t>
            </w:r>
          </w:p>
        </w:tc>
        <w:tc>
          <w:tcPr>
            <w:tcW w:w="3847" w:type="pct"/>
            <w:shd w:val="clear" w:color="auto" w:fill="auto"/>
          </w:tcPr>
          <w:p w14:paraId="683B01AC">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可接收数据的提交、审核、移交及公告等信息</w:t>
            </w:r>
          </w:p>
          <w:p w14:paraId="5FE7826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支持信息详情查看</w:t>
            </w:r>
          </w:p>
        </w:tc>
      </w:tr>
      <w:tr w14:paraId="4F6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vMerge w:val="continue"/>
            <w:shd w:val="clear" w:color="auto" w:fill="auto"/>
          </w:tcPr>
          <w:p w14:paraId="4F988E11">
            <w:pPr>
              <w:spacing w:line="240" w:lineRule="atLeast"/>
              <w:jc w:val="left"/>
              <w:rPr>
                <w:rFonts w:cs="宋体" w:asciiTheme="minorEastAsia" w:hAnsiTheme="minorEastAsia"/>
                <w:color w:val="000000"/>
                <w:kern w:val="0"/>
                <w:szCs w:val="21"/>
              </w:rPr>
            </w:pPr>
          </w:p>
        </w:tc>
        <w:tc>
          <w:tcPr>
            <w:tcW w:w="754" w:type="pct"/>
            <w:shd w:val="clear" w:color="auto" w:fill="auto"/>
          </w:tcPr>
          <w:p w14:paraId="0E5AD4FA">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查看统计</w:t>
            </w:r>
          </w:p>
        </w:tc>
        <w:tc>
          <w:tcPr>
            <w:tcW w:w="3847" w:type="pct"/>
            <w:shd w:val="clear" w:color="auto" w:fill="auto"/>
          </w:tcPr>
          <w:p w14:paraId="77637A33">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查看上报数据的统计结果</w:t>
            </w:r>
          </w:p>
        </w:tc>
      </w:tr>
      <w:tr w14:paraId="060E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15" w:type="dxa"/>
          </w:tblCellMar>
        </w:tblPrEx>
        <w:trPr>
          <w:trHeight w:val="20" w:hRule="atLeast"/>
          <w:jc w:val="center"/>
        </w:trPr>
        <w:tc>
          <w:tcPr>
            <w:tcW w:w="400" w:type="pct"/>
            <w:shd w:val="clear" w:color="auto" w:fill="auto"/>
          </w:tcPr>
          <w:p w14:paraId="2AC3A66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集成应用</w:t>
            </w:r>
          </w:p>
        </w:tc>
        <w:tc>
          <w:tcPr>
            <w:tcW w:w="4600" w:type="pct"/>
            <w:gridSpan w:val="2"/>
            <w:shd w:val="clear" w:color="auto" w:fill="auto"/>
          </w:tcPr>
          <w:p w14:paraId="6FE10F5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和院内HIS、EMR等系统集成对接，一体化集成应用。并和总院区系统数据一致，信息共享。</w:t>
            </w:r>
          </w:p>
        </w:tc>
      </w:tr>
    </w:tbl>
    <w:p w14:paraId="375E2A62">
      <w:pPr>
        <w:pStyle w:val="84"/>
        <w:ind w:left="0" w:firstLine="0"/>
        <w:rPr>
          <w:rFonts w:asciiTheme="minorEastAsia" w:hAnsiTheme="minorEastAsia" w:eastAsiaTheme="minorEastAsia"/>
        </w:rPr>
      </w:pPr>
      <w:r>
        <w:rPr>
          <w:rFonts w:asciiTheme="minorEastAsia" w:hAnsiTheme="minorEastAsia" w:eastAsiaTheme="minorEastAsia"/>
        </w:rPr>
        <w:t>2.2.2</w:t>
      </w:r>
      <w:r>
        <w:rPr>
          <w:rFonts w:hint="eastAsia" w:asciiTheme="minorEastAsia" w:hAnsiTheme="minorEastAsia" w:eastAsiaTheme="minorEastAsia"/>
        </w:rPr>
        <w:t>无纸化病案多院区扩展系统</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9265"/>
      </w:tblGrid>
      <w:tr w14:paraId="2E2F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14:paraId="03E13AE6">
            <w:pPr>
              <w:pStyle w:val="87"/>
              <w:spacing w:line="240" w:lineRule="atLeast"/>
              <w:ind w:left="0" w:firstLine="0"/>
              <w:jc w:val="left"/>
              <w:rPr>
                <w:rFonts w:hAnsi="宋体" w:cs="宋体"/>
                <w:b/>
                <w:bCs/>
              </w:rPr>
            </w:pPr>
            <w:r>
              <w:rPr>
                <w:rFonts w:hint="eastAsia" w:hAnsi="宋体" w:cs="宋体"/>
                <w:b/>
                <w:bCs/>
              </w:rPr>
              <w:t>序号</w:t>
            </w:r>
          </w:p>
        </w:tc>
        <w:tc>
          <w:tcPr>
            <w:tcW w:w="4521" w:type="pct"/>
            <w:shd w:val="clear" w:color="auto" w:fill="auto"/>
          </w:tcPr>
          <w:p w14:paraId="5D4A3C14">
            <w:pPr>
              <w:pStyle w:val="87"/>
              <w:spacing w:line="240" w:lineRule="atLeast"/>
              <w:ind w:left="0" w:firstLine="0"/>
              <w:jc w:val="left"/>
              <w:rPr>
                <w:rFonts w:hAnsi="宋体" w:cs="宋体"/>
                <w:b/>
                <w:bCs/>
              </w:rPr>
            </w:pPr>
            <w:r>
              <w:rPr>
                <w:rFonts w:hint="eastAsia" w:hAnsi="宋体" w:cs="宋体"/>
                <w:b/>
                <w:bCs/>
              </w:rPr>
              <w:t>功能参数要求</w:t>
            </w:r>
          </w:p>
        </w:tc>
      </w:tr>
      <w:tr w14:paraId="6EF3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14:paraId="50FBD399">
            <w:pPr>
              <w:pStyle w:val="87"/>
              <w:numPr>
                <w:ilvl w:val="0"/>
                <w:numId w:val="4"/>
              </w:numPr>
              <w:spacing w:line="240" w:lineRule="atLeast"/>
              <w:jc w:val="left"/>
              <w:rPr>
                <w:rFonts w:hAnsi="宋体" w:cs="宋体"/>
              </w:rPr>
            </w:pPr>
          </w:p>
        </w:tc>
        <w:tc>
          <w:tcPr>
            <w:tcW w:w="4521" w:type="pct"/>
            <w:shd w:val="clear" w:color="auto" w:fill="auto"/>
          </w:tcPr>
          <w:p w14:paraId="71B3922E">
            <w:pPr>
              <w:spacing w:line="240" w:lineRule="atLeast"/>
              <w:jc w:val="left"/>
              <w:rPr>
                <w:rFonts w:ascii="宋体" w:hAnsi="宋体" w:eastAsia="宋体" w:cs="宋体"/>
                <w:szCs w:val="21"/>
              </w:rPr>
            </w:pPr>
            <w:r>
              <w:rPr>
                <w:rFonts w:hint="eastAsia" w:ascii="宋体" w:hAnsi="宋体" w:eastAsia="宋体" w:cs="宋体"/>
                <w:szCs w:val="21"/>
              </w:rPr>
              <w:t>1.多院区扩展：</w:t>
            </w:r>
          </w:p>
          <w:p w14:paraId="5A9D182B">
            <w:pPr>
              <w:spacing w:line="240" w:lineRule="atLeast"/>
              <w:jc w:val="left"/>
              <w:rPr>
                <w:rFonts w:ascii="宋体" w:hAnsi="宋体" w:eastAsia="宋体" w:cs="宋体"/>
                <w:szCs w:val="21"/>
              </w:rPr>
            </w:pPr>
            <w:r>
              <w:rPr>
                <w:rFonts w:hint="eastAsia" w:ascii="宋体" w:hAnsi="宋体" w:eastAsia="宋体" w:cs="宋体"/>
                <w:szCs w:val="21"/>
              </w:rPr>
              <w:t>（1）支持与总院区电子病案管理系统无缝兼容。</w:t>
            </w:r>
          </w:p>
          <w:p w14:paraId="5F4677CF">
            <w:pPr>
              <w:spacing w:line="240" w:lineRule="atLeast"/>
              <w:jc w:val="left"/>
              <w:rPr>
                <w:rFonts w:ascii="宋体" w:hAnsi="宋体" w:eastAsia="宋体" w:cs="宋体"/>
                <w:szCs w:val="21"/>
              </w:rPr>
            </w:pPr>
            <w:r>
              <w:rPr>
                <w:rFonts w:hint="eastAsia" w:ascii="宋体" w:hAnsi="宋体" w:eastAsia="宋体" w:cs="宋体"/>
                <w:szCs w:val="21"/>
              </w:rPr>
              <w:t>（2）搭建总院内与我院之间的病案数据每日闲时同步机制，确保数据同步，实现多院区病案数据共享和交换功能。</w:t>
            </w:r>
          </w:p>
          <w:p w14:paraId="173DEACA">
            <w:pPr>
              <w:spacing w:line="240" w:lineRule="atLeast"/>
              <w:jc w:val="left"/>
              <w:rPr>
                <w:rFonts w:ascii="宋体" w:hAnsi="宋体" w:eastAsia="宋体" w:cs="宋体"/>
                <w:szCs w:val="21"/>
              </w:rPr>
            </w:pPr>
            <w:r>
              <w:rPr>
                <w:rFonts w:hint="eastAsia" w:ascii="宋体" w:hAnsi="宋体" w:eastAsia="宋体" w:cs="宋体"/>
                <w:szCs w:val="21"/>
              </w:rPr>
              <w:t>（3）具备院区、科室的多级划分功能，区分不同院区不同科室，实现各层级医技护人员职责内数据的精准管理。</w:t>
            </w:r>
          </w:p>
          <w:p w14:paraId="660E1E29">
            <w:pPr>
              <w:spacing w:line="240" w:lineRule="atLeast"/>
              <w:jc w:val="left"/>
              <w:rPr>
                <w:rFonts w:ascii="宋体" w:hAnsi="宋体" w:eastAsia="宋体" w:cs="宋体"/>
                <w:szCs w:val="21"/>
              </w:rPr>
            </w:pPr>
            <w:r>
              <w:rPr>
                <w:rFonts w:hint="eastAsia" w:ascii="宋体" w:hAnsi="宋体" w:eastAsia="宋体" w:cs="宋体"/>
                <w:szCs w:val="21"/>
              </w:rPr>
              <w:t>2.病案数据采集：</w:t>
            </w:r>
          </w:p>
          <w:p w14:paraId="357DE1A3">
            <w:pPr>
              <w:spacing w:line="240" w:lineRule="atLeast"/>
              <w:jc w:val="left"/>
              <w:rPr>
                <w:rFonts w:ascii="宋体" w:hAnsi="宋体" w:eastAsia="宋体" w:cs="宋体"/>
                <w:szCs w:val="21"/>
              </w:rPr>
            </w:pPr>
            <w:r>
              <w:rPr>
                <w:rFonts w:hint="eastAsia" w:ascii="宋体" w:hAnsi="宋体" w:eastAsia="宋体" w:cs="宋体"/>
                <w:szCs w:val="21"/>
              </w:rPr>
              <w:t>系统设计提供标准化的电子病案及关键数据的采集接口。</w:t>
            </w:r>
          </w:p>
          <w:p w14:paraId="204ED725">
            <w:pPr>
              <w:spacing w:line="240" w:lineRule="atLeast"/>
              <w:jc w:val="left"/>
              <w:rPr>
                <w:rFonts w:ascii="宋体" w:hAnsi="宋体" w:eastAsia="宋体" w:cs="宋体"/>
                <w:szCs w:val="21"/>
              </w:rPr>
            </w:pPr>
            <w:r>
              <w:rPr>
                <w:rFonts w:hint="eastAsia" w:ascii="宋体" w:hAnsi="宋体" w:eastAsia="宋体" w:cs="宋体"/>
                <w:szCs w:val="21"/>
              </w:rPr>
              <w:t>系统对过程签名及时间戳等关键数据进行采集。</w:t>
            </w:r>
          </w:p>
          <w:p w14:paraId="25033075">
            <w:pPr>
              <w:spacing w:line="240" w:lineRule="atLeast"/>
              <w:jc w:val="left"/>
              <w:rPr>
                <w:rFonts w:ascii="宋体" w:hAnsi="宋体" w:eastAsia="宋体" w:cs="宋体"/>
                <w:szCs w:val="21"/>
              </w:rPr>
            </w:pPr>
            <w:r>
              <w:rPr>
                <w:rFonts w:hint="eastAsia" w:ascii="宋体" w:hAnsi="宋体" w:eastAsia="宋体" w:cs="宋体"/>
                <w:szCs w:val="21"/>
              </w:rPr>
              <w:t>可以实时查看接口工作状态。</w:t>
            </w:r>
          </w:p>
          <w:p w14:paraId="5A38D555">
            <w:pPr>
              <w:spacing w:line="240" w:lineRule="atLeast"/>
              <w:jc w:val="left"/>
              <w:rPr>
                <w:rFonts w:ascii="宋体" w:hAnsi="宋体" w:eastAsia="宋体" w:cs="宋体"/>
                <w:szCs w:val="21"/>
              </w:rPr>
            </w:pPr>
            <w:r>
              <w:rPr>
                <w:rFonts w:hint="eastAsia" w:ascii="宋体" w:hAnsi="宋体" w:eastAsia="宋体" w:cs="宋体"/>
                <w:szCs w:val="21"/>
              </w:rPr>
              <w:t>支持接口监控运行统计情况展示，提供接口服务各类可视化统计图表。</w:t>
            </w:r>
          </w:p>
          <w:p w14:paraId="792E344B">
            <w:pPr>
              <w:spacing w:line="240" w:lineRule="atLeast"/>
              <w:jc w:val="left"/>
              <w:rPr>
                <w:rFonts w:ascii="宋体" w:hAnsi="宋体" w:eastAsia="宋体" w:cs="宋体"/>
                <w:szCs w:val="21"/>
              </w:rPr>
            </w:pPr>
            <w:r>
              <w:rPr>
                <w:rFonts w:hint="eastAsia" w:ascii="宋体" w:hAnsi="宋体" w:eastAsia="宋体" w:cs="宋体"/>
                <w:szCs w:val="21"/>
              </w:rPr>
              <w:t>对于医院无法实现电子化的部分纸质病案进行数字化翻拍。</w:t>
            </w:r>
          </w:p>
          <w:p w14:paraId="1E9D5BFD">
            <w:pPr>
              <w:spacing w:line="240" w:lineRule="atLeast"/>
              <w:jc w:val="left"/>
              <w:rPr>
                <w:rFonts w:ascii="宋体" w:hAnsi="宋体" w:eastAsia="宋体" w:cs="宋体"/>
                <w:szCs w:val="21"/>
              </w:rPr>
            </w:pPr>
            <w:r>
              <w:rPr>
                <w:rFonts w:hint="eastAsia" w:ascii="宋体" w:hAnsi="宋体" w:eastAsia="宋体" w:cs="宋体"/>
                <w:szCs w:val="21"/>
              </w:rPr>
              <w:t>3.病案数据处理：</w:t>
            </w:r>
          </w:p>
          <w:p w14:paraId="3D4DEFB1">
            <w:pPr>
              <w:spacing w:line="240" w:lineRule="atLeast"/>
              <w:jc w:val="left"/>
              <w:rPr>
                <w:rFonts w:ascii="宋体" w:hAnsi="宋体" w:eastAsia="宋体" w:cs="宋体"/>
                <w:szCs w:val="21"/>
              </w:rPr>
            </w:pPr>
            <w:r>
              <w:rPr>
                <w:rFonts w:hint="eastAsia" w:ascii="宋体" w:hAnsi="宋体" w:eastAsia="宋体" w:cs="宋体"/>
                <w:szCs w:val="21"/>
              </w:rPr>
              <w:t>可以对非标准化的数据，通过数据对照功能进行标准化的转化工作。</w:t>
            </w:r>
          </w:p>
          <w:p w14:paraId="6E2B706F">
            <w:pPr>
              <w:spacing w:line="240" w:lineRule="atLeast"/>
              <w:jc w:val="left"/>
              <w:rPr>
                <w:rFonts w:ascii="宋体" w:hAnsi="宋体" w:eastAsia="宋体" w:cs="宋体"/>
                <w:szCs w:val="21"/>
              </w:rPr>
            </w:pPr>
            <w:r>
              <w:rPr>
                <w:rFonts w:hint="eastAsia" w:ascii="宋体" w:hAnsi="宋体" w:eastAsia="宋体" w:cs="宋体"/>
                <w:szCs w:val="21"/>
              </w:rPr>
              <w:t>★可以对采集来的数据进行内容校验、签名校验、时间戳校验等校验工作。</w:t>
            </w:r>
          </w:p>
          <w:p w14:paraId="6F3F1505">
            <w:pPr>
              <w:spacing w:line="240" w:lineRule="atLeast"/>
              <w:jc w:val="left"/>
              <w:rPr>
                <w:rFonts w:ascii="宋体" w:hAnsi="宋体" w:eastAsia="宋体" w:cs="宋体"/>
                <w:szCs w:val="21"/>
              </w:rPr>
            </w:pPr>
            <w:r>
              <w:rPr>
                <w:rFonts w:hint="eastAsia" w:ascii="宋体" w:hAnsi="宋体" w:eastAsia="宋体" w:cs="宋体"/>
                <w:szCs w:val="21"/>
              </w:rPr>
              <w:t>4.病案闭环管理：</w:t>
            </w:r>
          </w:p>
          <w:p w14:paraId="74340017">
            <w:pPr>
              <w:spacing w:line="240" w:lineRule="atLeast"/>
              <w:jc w:val="left"/>
              <w:rPr>
                <w:rFonts w:ascii="宋体" w:hAnsi="宋体" w:eastAsia="宋体" w:cs="宋体"/>
                <w:szCs w:val="21"/>
              </w:rPr>
            </w:pPr>
            <w:r>
              <w:rPr>
                <w:rFonts w:hint="eastAsia" w:ascii="宋体" w:hAnsi="宋体" w:eastAsia="宋体" w:cs="宋体"/>
                <w:szCs w:val="21"/>
              </w:rPr>
              <w:t>可以按不同的工作分组，为病案科不同的工作人员提供整合的工作台界面。</w:t>
            </w:r>
          </w:p>
          <w:p w14:paraId="36B1357B">
            <w:pPr>
              <w:spacing w:line="240" w:lineRule="atLeast"/>
              <w:jc w:val="left"/>
              <w:rPr>
                <w:rFonts w:ascii="宋体" w:hAnsi="宋体" w:eastAsia="宋体" w:cs="宋体"/>
                <w:szCs w:val="21"/>
              </w:rPr>
            </w:pPr>
            <w:r>
              <w:rPr>
                <w:rFonts w:hint="eastAsia" w:ascii="宋体" w:hAnsi="宋体" w:eastAsia="宋体" w:cs="宋体"/>
                <w:szCs w:val="21"/>
              </w:rPr>
              <w:t>可以根据医院或不同的科室要求配置方案。</w:t>
            </w:r>
          </w:p>
          <w:p w14:paraId="3071C899">
            <w:pPr>
              <w:spacing w:line="240" w:lineRule="atLeast"/>
              <w:jc w:val="left"/>
              <w:rPr>
                <w:rFonts w:ascii="宋体" w:hAnsi="宋体" w:eastAsia="宋体" w:cs="宋体"/>
                <w:szCs w:val="21"/>
              </w:rPr>
            </w:pPr>
            <w:r>
              <w:rPr>
                <w:rFonts w:hint="eastAsia" w:ascii="宋体" w:hAnsi="宋体" w:eastAsia="宋体" w:cs="宋体"/>
                <w:szCs w:val="21"/>
              </w:rPr>
              <w:t>对于采集的病案，提供病案预归档功能。</w:t>
            </w:r>
          </w:p>
          <w:p w14:paraId="0858EDA8">
            <w:pPr>
              <w:spacing w:line="240" w:lineRule="atLeast"/>
              <w:jc w:val="left"/>
              <w:rPr>
                <w:rFonts w:ascii="宋体" w:hAnsi="宋体" w:eastAsia="宋体" w:cs="宋体"/>
                <w:szCs w:val="21"/>
              </w:rPr>
            </w:pPr>
            <w:r>
              <w:rPr>
                <w:rFonts w:hint="eastAsia" w:ascii="宋体" w:hAnsi="宋体" w:eastAsia="宋体" w:cs="宋体"/>
                <w:szCs w:val="21"/>
              </w:rPr>
              <w:t>支持对于回收的病案进行审核，对不合格的病案科进行返修、退回，对传输错误的病案进行手动发起重传。</w:t>
            </w:r>
          </w:p>
          <w:p w14:paraId="72E06BC5">
            <w:pPr>
              <w:spacing w:line="240" w:lineRule="atLeast"/>
              <w:jc w:val="left"/>
              <w:rPr>
                <w:rFonts w:ascii="宋体" w:hAnsi="宋体" w:eastAsia="宋体" w:cs="宋体"/>
                <w:szCs w:val="21"/>
              </w:rPr>
            </w:pPr>
            <w:r>
              <w:rPr>
                <w:rFonts w:hint="eastAsia" w:ascii="宋体" w:hAnsi="宋体" w:eastAsia="宋体" w:cs="宋体"/>
                <w:szCs w:val="21"/>
              </w:rPr>
              <w:t>提供病案召回功能并可自动判断是否满足召回条件。</w:t>
            </w:r>
          </w:p>
          <w:p w14:paraId="46A9C411">
            <w:pPr>
              <w:spacing w:line="240" w:lineRule="atLeast"/>
              <w:jc w:val="left"/>
              <w:rPr>
                <w:rFonts w:ascii="宋体" w:hAnsi="宋体" w:eastAsia="宋体" w:cs="宋体"/>
                <w:szCs w:val="21"/>
              </w:rPr>
            </w:pPr>
            <w:r>
              <w:rPr>
                <w:rFonts w:hint="eastAsia" w:ascii="宋体" w:hAnsi="宋体" w:eastAsia="宋体" w:cs="宋体"/>
                <w:szCs w:val="21"/>
              </w:rPr>
              <w:t>可以记录病案的总份数、回收份数、回收时间、是否必要文档都已回收等信息并进行自动校验，校验结果可提供报表进行展示。</w:t>
            </w:r>
          </w:p>
          <w:p w14:paraId="149DAAB2">
            <w:pPr>
              <w:spacing w:line="240" w:lineRule="atLeast"/>
              <w:jc w:val="left"/>
              <w:rPr>
                <w:rFonts w:ascii="宋体" w:hAnsi="宋体" w:eastAsia="宋体" w:cs="宋体"/>
                <w:szCs w:val="21"/>
              </w:rPr>
            </w:pPr>
            <w:r>
              <w:rPr>
                <w:rFonts w:hint="eastAsia" w:ascii="宋体" w:hAnsi="宋体" w:eastAsia="宋体" w:cs="宋体"/>
                <w:szCs w:val="21"/>
              </w:rPr>
              <w:t>可以基于长期医嘱单实现归档病案的三单一致性校验，确保检查检验报告的数据完整性。</w:t>
            </w:r>
          </w:p>
          <w:p w14:paraId="1BFAF4CB">
            <w:pPr>
              <w:spacing w:line="240" w:lineRule="atLeast"/>
              <w:jc w:val="left"/>
              <w:rPr>
                <w:rFonts w:ascii="宋体" w:hAnsi="宋体" w:eastAsia="宋体" w:cs="宋体"/>
                <w:szCs w:val="21"/>
              </w:rPr>
            </w:pPr>
            <w:r>
              <w:rPr>
                <w:rFonts w:hint="eastAsia" w:ascii="宋体" w:hAnsi="宋体" w:eastAsia="宋体" w:cs="宋体"/>
                <w:szCs w:val="21"/>
              </w:rPr>
              <w:t>★可以对归档后的病案加盖归档章（支持骑缝章），并记录时间戳，日志信息，从而保障档案归档后的数据合法性。对于发生法律纠纷的病案可进行封存。支持针对封存病案的电子签章应用。</w:t>
            </w:r>
          </w:p>
          <w:p w14:paraId="0B39B20D">
            <w:pPr>
              <w:spacing w:line="240" w:lineRule="atLeast"/>
              <w:jc w:val="left"/>
              <w:rPr>
                <w:rFonts w:ascii="宋体" w:hAnsi="宋体" w:eastAsia="宋体" w:cs="宋体"/>
                <w:szCs w:val="21"/>
              </w:rPr>
            </w:pPr>
            <w:r>
              <w:rPr>
                <w:rFonts w:hint="eastAsia" w:ascii="宋体" w:hAnsi="宋体" w:eastAsia="宋体" w:cs="宋体"/>
                <w:szCs w:val="21"/>
              </w:rPr>
              <w:t>5.病案应用：</w:t>
            </w:r>
          </w:p>
          <w:p w14:paraId="0B937FF7">
            <w:pPr>
              <w:spacing w:line="240" w:lineRule="atLeast"/>
              <w:jc w:val="left"/>
              <w:rPr>
                <w:rFonts w:ascii="宋体" w:hAnsi="宋体" w:eastAsia="宋体" w:cs="宋体"/>
                <w:szCs w:val="21"/>
              </w:rPr>
            </w:pPr>
            <w:r>
              <w:rPr>
                <w:rFonts w:hint="eastAsia" w:ascii="宋体" w:hAnsi="宋体" w:eastAsia="宋体" w:cs="宋体"/>
                <w:szCs w:val="21"/>
              </w:rPr>
              <w:t>根据权限进行病案浏览，浏览时可采用动态水印、隐私保护、防拷屏、生物识别等安全技术手段进行保护。浏览权限支持天数设定，到期自动回收。</w:t>
            </w:r>
          </w:p>
          <w:p w14:paraId="0C8B29B8">
            <w:pPr>
              <w:spacing w:line="240" w:lineRule="atLeast"/>
              <w:jc w:val="left"/>
              <w:rPr>
                <w:rFonts w:ascii="宋体" w:hAnsi="宋体" w:eastAsia="宋体" w:cs="宋体"/>
                <w:szCs w:val="21"/>
              </w:rPr>
            </w:pPr>
            <w:r>
              <w:rPr>
                <w:rFonts w:hint="eastAsia" w:ascii="宋体" w:hAnsi="宋体" w:eastAsia="宋体" w:cs="宋体"/>
                <w:szCs w:val="21"/>
              </w:rPr>
              <w:t>可以通过病案病案号、患者信息、出院时间、出院科室等信息进行病案检索。</w:t>
            </w:r>
          </w:p>
          <w:p w14:paraId="6B8B6C6E">
            <w:pPr>
              <w:spacing w:line="240" w:lineRule="atLeast"/>
              <w:jc w:val="left"/>
              <w:rPr>
                <w:rFonts w:ascii="宋体" w:hAnsi="宋体" w:eastAsia="宋体" w:cs="宋体"/>
                <w:szCs w:val="21"/>
              </w:rPr>
            </w:pPr>
            <w:r>
              <w:rPr>
                <w:rFonts w:hint="eastAsia" w:ascii="宋体" w:hAnsi="宋体" w:eastAsia="宋体" w:cs="宋体"/>
                <w:szCs w:val="21"/>
              </w:rPr>
              <w:t>支持医对病案进行科研借阅。</w:t>
            </w:r>
          </w:p>
          <w:p w14:paraId="51D7D9E1">
            <w:pPr>
              <w:spacing w:line="240" w:lineRule="atLeast"/>
              <w:jc w:val="left"/>
              <w:rPr>
                <w:rFonts w:ascii="宋体" w:hAnsi="宋体" w:eastAsia="宋体" w:cs="宋体"/>
                <w:szCs w:val="21"/>
              </w:rPr>
            </w:pPr>
            <w:r>
              <w:rPr>
                <w:rFonts w:hint="eastAsia" w:ascii="宋体" w:hAnsi="宋体" w:eastAsia="宋体" w:cs="宋体"/>
                <w:szCs w:val="21"/>
              </w:rPr>
              <w:t>提供门诊、住院患者就医时的病案调阅服务。</w:t>
            </w:r>
          </w:p>
          <w:p w14:paraId="09890517">
            <w:pPr>
              <w:spacing w:line="240" w:lineRule="atLeast"/>
              <w:jc w:val="left"/>
              <w:rPr>
                <w:rFonts w:ascii="宋体" w:hAnsi="宋体" w:eastAsia="宋体" w:cs="宋体"/>
                <w:szCs w:val="21"/>
              </w:rPr>
            </w:pPr>
            <w:r>
              <w:rPr>
                <w:rFonts w:hint="eastAsia" w:ascii="宋体" w:hAnsi="宋体" w:eastAsia="宋体" w:cs="宋体"/>
                <w:szCs w:val="21"/>
              </w:rPr>
              <w:t>支持打印的病案文件带有医院归档的可视电子签章，保障交付给患者的病案具有合法合规性。</w:t>
            </w:r>
          </w:p>
          <w:p w14:paraId="11DAE0E0">
            <w:pPr>
              <w:spacing w:line="240" w:lineRule="atLeast"/>
              <w:jc w:val="left"/>
              <w:rPr>
                <w:rFonts w:ascii="宋体" w:hAnsi="宋体" w:eastAsia="宋体" w:cs="宋体"/>
                <w:szCs w:val="21"/>
              </w:rPr>
            </w:pPr>
            <w:r>
              <w:rPr>
                <w:rFonts w:hint="eastAsia" w:ascii="宋体" w:hAnsi="宋体" w:eastAsia="宋体" w:cs="宋体"/>
                <w:szCs w:val="21"/>
              </w:rPr>
              <w:t>支持病案加密导出，导出病案加密浏览。</w:t>
            </w:r>
          </w:p>
        </w:tc>
      </w:tr>
      <w:tr w14:paraId="1006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14:paraId="52C3020C">
            <w:pPr>
              <w:pStyle w:val="87"/>
              <w:spacing w:line="240" w:lineRule="atLeast"/>
              <w:ind w:left="0" w:firstLine="0"/>
              <w:jc w:val="left"/>
              <w:rPr>
                <w:rFonts w:hAnsi="宋体" w:cs="宋体"/>
              </w:rPr>
            </w:pPr>
            <w:r>
              <w:rPr>
                <w:rFonts w:hint="eastAsia" w:hAnsi="宋体" w:cs="宋体"/>
              </w:rPr>
              <w:t>2</w:t>
            </w:r>
          </w:p>
        </w:tc>
        <w:tc>
          <w:tcPr>
            <w:tcW w:w="4521" w:type="pct"/>
            <w:shd w:val="clear" w:color="auto" w:fill="auto"/>
          </w:tcPr>
          <w:p w14:paraId="3E75A6A2">
            <w:pPr>
              <w:spacing w:line="240" w:lineRule="atLeast"/>
              <w:jc w:val="left"/>
              <w:rPr>
                <w:rFonts w:ascii="宋体" w:hAnsi="宋体" w:eastAsia="宋体" w:cs="宋体"/>
                <w:szCs w:val="21"/>
              </w:rPr>
            </w:pPr>
            <w:r>
              <w:rPr>
                <w:rFonts w:hint="eastAsia" w:ascii="宋体" w:hAnsi="宋体" w:eastAsia="宋体" w:cs="宋体"/>
                <w:szCs w:val="21"/>
              </w:rPr>
              <w:t>配套产品：</w:t>
            </w:r>
          </w:p>
          <w:p w14:paraId="1E7CD235">
            <w:pPr>
              <w:spacing w:line="240" w:lineRule="atLeast"/>
              <w:jc w:val="left"/>
              <w:rPr>
                <w:rFonts w:ascii="宋体" w:hAnsi="宋体" w:eastAsia="宋体" w:cs="宋体"/>
                <w:szCs w:val="21"/>
              </w:rPr>
            </w:pPr>
            <w:r>
              <w:rPr>
                <w:rFonts w:hint="eastAsia" w:ascii="宋体" w:hAnsi="宋体" w:eastAsia="宋体" w:cs="宋体"/>
                <w:szCs w:val="21"/>
              </w:rPr>
              <w:t>为系统配备1台高拍仪、1台二代身份证读卡器，满足病案无纸化翻拍和病案打印时的身份验证的需求。</w:t>
            </w:r>
          </w:p>
        </w:tc>
      </w:tr>
      <w:tr w14:paraId="3440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14:paraId="5FDD85CF">
            <w:pPr>
              <w:pStyle w:val="87"/>
              <w:spacing w:line="240" w:lineRule="atLeast"/>
              <w:ind w:left="0" w:firstLine="0"/>
              <w:jc w:val="left"/>
              <w:rPr>
                <w:rFonts w:hAnsi="宋体" w:cs="宋体"/>
              </w:rPr>
            </w:pPr>
            <w:r>
              <w:rPr>
                <w:rFonts w:hint="eastAsia" w:hAnsi="宋体" w:cs="宋体"/>
              </w:rPr>
              <w:t>3</w:t>
            </w:r>
          </w:p>
        </w:tc>
        <w:tc>
          <w:tcPr>
            <w:tcW w:w="4521" w:type="pct"/>
            <w:shd w:val="clear" w:color="auto" w:fill="auto"/>
          </w:tcPr>
          <w:p w14:paraId="011167CF">
            <w:pPr>
              <w:pStyle w:val="87"/>
              <w:spacing w:line="240" w:lineRule="atLeast"/>
              <w:ind w:left="0" w:firstLine="0"/>
              <w:jc w:val="left"/>
              <w:rPr>
                <w:rFonts w:hAnsi="宋体" w:cs="宋体"/>
              </w:rPr>
            </w:pPr>
            <w:r>
              <w:rPr>
                <w:rFonts w:hint="eastAsia" w:hAnsi="宋体" w:cs="宋体"/>
              </w:rPr>
              <w:t>集成应用：和总院区功能一致，和院内系统一体化集成应用。</w:t>
            </w:r>
          </w:p>
        </w:tc>
      </w:tr>
    </w:tbl>
    <w:p w14:paraId="14A6A2C6">
      <w:pPr>
        <w:pStyle w:val="84"/>
        <w:ind w:left="0" w:firstLine="0"/>
        <w:rPr>
          <w:rFonts w:asciiTheme="minorEastAsia" w:hAnsiTheme="minorEastAsia" w:eastAsiaTheme="minorEastAsia"/>
        </w:rPr>
      </w:pPr>
      <w:r>
        <w:rPr>
          <w:rFonts w:hint="eastAsia" w:asciiTheme="minorEastAsia" w:hAnsiTheme="minorEastAsia" w:eastAsiaTheme="minorEastAsia"/>
        </w:rPr>
        <w:t>2.2.3中医临床路径</w:t>
      </w:r>
    </w:p>
    <w:tbl>
      <w:tblPr>
        <w:tblStyle w:val="30"/>
        <w:tblW w:w="8435" w:type="dxa"/>
        <w:tblInd w:w="0" w:type="dxa"/>
        <w:tblLayout w:type="fixed"/>
        <w:tblCellMar>
          <w:top w:w="0" w:type="dxa"/>
          <w:left w:w="108" w:type="dxa"/>
          <w:bottom w:w="0" w:type="dxa"/>
          <w:right w:w="108" w:type="dxa"/>
        </w:tblCellMar>
      </w:tblPr>
      <w:tblGrid>
        <w:gridCol w:w="675"/>
        <w:gridCol w:w="1134"/>
        <w:gridCol w:w="6626"/>
      </w:tblGrid>
      <w:tr w14:paraId="00DDF1E9">
        <w:tblPrEx>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AD6A33">
            <w:pPr>
              <w:spacing w:line="240" w:lineRule="atLeast"/>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14:paraId="5874ED3B">
            <w:pPr>
              <w:spacing w:line="240" w:lineRule="atLeast"/>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功能模块</w:t>
            </w:r>
          </w:p>
        </w:tc>
        <w:tc>
          <w:tcPr>
            <w:tcW w:w="6626" w:type="dxa"/>
            <w:tcBorders>
              <w:top w:val="single" w:color="auto" w:sz="4" w:space="0"/>
              <w:left w:val="nil"/>
              <w:bottom w:val="single" w:color="auto" w:sz="4" w:space="0"/>
              <w:right w:val="single" w:color="auto" w:sz="4" w:space="0"/>
            </w:tcBorders>
            <w:shd w:val="clear" w:color="auto" w:fill="auto"/>
            <w:vAlign w:val="center"/>
          </w:tcPr>
          <w:p w14:paraId="3E8ECB2C">
            <w:pPr>
              <w:spacing w:line="240" w:lineRule="atLeast"/>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功能参数要求</w:t>
            </w:r>
          </w:p>
        </w:tc>
      </w:tr>
      <w:tr w14:paraId="48DDD666">
        <w:tblPrEx>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EA4E00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134" w:type="dxa"/>
            <w:tcBorders>
              <w:top w:val="nil"/>
              <w:left w:val="single" w:color="auto" w:sz="4" w:space="0"/>
              <w:bottom w:val="single" w:color="auto" w:sz="4" w:space="0"/>
              <w:right w:val="single" w:color="auto" w:sz="4" w:space="0"/>
            </w:tcBorders>
            <w:shd w:val="clear" w:color="auto" w:fill="auto"/>
            <w:vAlign w:val="center"/>
          </w:tcPr>
          <w:p w14:paraId="4B68142B">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路径制定</w:t>
            </w:r>
          </w:p>
        </w:tc>
        <w:tc>
          <w:tcPr>
            <w:tcW w:w="6626" w:type="dxa"/>
            <w:tcBorders>
              <w:top w:val="nil"/>
              <w:left w:val="nil"/>
              <w:bottom w:val="single" w:color="auto" w:sz="4" w:space="0"/>
              <w:right w:val="single" w:color="auto" w:sz="4" w:space="0"/>
            </w:tcBorders>
            <w:shd w:val="clear" w:color="auto" w:fill="auto"/>
            <w:vAlign w:val="center"/>
          </w:tcPr>
          <w:p w14:paraId="5AC364B8">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1）支持自定义路径内容,包括增加、修改、删除、刷新、关闭操作，并可展示路径阶段对应的内容。</w:t>
            </w:r>
          </w:p>
          <w:p w14:paraId="1603E9A1">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2）具有路径模板管理功能。</w:t>
            </w:r>
          </w:p>
          <w:p w14:paraId="4AC55C97">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3）可根据条件进行路径查询，可复制和导出路径内容。</w:t>
            </w:r>
          </w:p>
          <w:p w14:paraId="5BB58ABB">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4）支持子路径管理，各子路径之间保持治疗方案的独立性。</w:t>
            </w:r>
          </w:p>
          <w:p w14:paraId="2E878516">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5）支持路径内容复制、路径医嘱复制功能，以快速制定路径。</w:t>
            </w:r>
          </w:p>
          <w:p w14:paraId="49CA4657">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6）支持路径医嘱事件定义，使业务流程更流畅。</w:t>
            </w:r>
          </w:p>
          <w:p w14:paraId="7D5D5D77">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7）检验医嘱支持标本定义、检查医嘱支持检查部位定义。</w:t>
            </w:r>
          </w:p>
          <w:p w14:paraId="3B7737A7">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8）内含国家卫计委发布的1000多个临床路径。</w:t>
            </w:r>
          </w:p>
          <w:p w14:paraId="4C9271FD">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9）支持中医协定处方。</w:t>
            </w:r>
          </w:p>
          <w:p w14:paraId="738F5920">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10）支持导入临床医嘱套餐，以快速制定路径。</w:t>
            </w:r>
          </w:p>
          <w:p w14:paraId="77EC5090">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11）支持二级路径管理。</w:t>
            </w:r>
          </w:p>
          <w:p w14:paraId="45760507">
            <w:pPr>
              <w:pStyle w:val="87"/>
              <w:spacing w:line="240" w:lineRule="atLeast"/>
              <w:ind w:left="0" w:firstLine="0"/>
              <w:jc w:val="left"/>
              <w:rPr>
                <w:rFonts w:cs="宋体" w:asciiTheme="minorEastAsia" w:hAnsiTheme="minorEastAsia" w:eastAsiaTheme="minorEastAsia"/>
                <w:color w:val="000000"/>
                <w:kern w:val="0"/>
              </w:rPr>
            </w:pPr>
            <w:r>
              <w:rPr>
                <w:rFonts w:hint="eastAsia" w:cs="宋体" w:asciiTheme="minorEastAsia" w:hAnsiTheme="minorEastAsia" w:eastAsiaTheme="minorEastAsia"/>
              </w:rPr>
              <w:t>12）支持临床多学科诊疗模式（MDT）。</w:t>
            </w:r>
          </w:p>
        </w:tc>
      </w:tr>
      <w:tr w14:paraId="6953BB49">
        <w:tblPrEx>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A29F316">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134" w:type="dxa"/>
            <w:tcBorders>
              <w:top w:val="nil"/>
              <w:left w:val="single" w:color="auto" w:sz="4" w:space="0"/>
              <w:bottom w:val="single" w:color="auto" w:sz="4" w:space="0"/>
              <w:right w:val="single" w:color="auto" w:sz="4" w:space="0"/>
            </w:tcBorders>
            <w:shd w:val="clear" w:color="auto" w:fill="auto"/>
            <w:vAlign w:val="center"/>
          </w:tcPr>
          <w:p w14:paraId="3A0ED3C1">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路径执行</w:t>
            </w:r>
          </w:p>
        </w:tc>
        <w:tc>
          <w:tcPr>
            <w:tcW w:w="6626" w:type="dxa"/>
            <w:tcBorders>
              <w:top w:val="nil"/>
              <w:left w:val="nil"/>
              <w:bottom w:val="single" w:color="auto" w:sz="4" w:space="0"/>
              <w:right w:val="single" w:color="auto" w:sz="4" w:space="0"/>
            </w:tcBorders>
            <w:shd w:val="clear" w:color="auto" w:fill="auto"/>
            <w:vAlign w:val="center"/>
          </w:tcPr>
          <w:p w14:paraId="04872566">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1)支持患者路径纳入、中途退出及路径完成管理。</w:t>
            </w:r>
          </w:p>
          <w:p w14:paraId="0C3D0C1F">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2)具有路径纳入智能提醒，可根据患者诊断数据，系统智能判断需要纳入的临床路径。</w:t>
            </w:r>
          </w:p>
          <w:p w14:paraId="2E7DA56B">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3)路径退出管理：因特殊原因将患者退出临床路径处理。</w:t>
            </w:r>
          </w:p>
          <w:p w14:paraId="0661E77D">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4)具有完成患者临床路径管理处理。</w:t>
            </w:r>
          </w:p>
          <w:p w14:paraId="1BC8D26E">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5)路径调整：实现对入径患者的路径实际执行提前或延迟调整处理。</w:t>
            </w:r>
          </w:p>
          <w:p w14:paraId="6C984523">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6）支持智能换药，以降低路径变异率。</w:t>
            </w:r>
          </w:p>
          <w:p w14:paraId="0C81AE42">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7）支持临床多学科诊疗模式（MDT）。</w:t>
            </w:r>
          </w:p>
          <w:p w14:paraId="4A0A11EA">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8）支持草药协定处方路径医嘱。</w:t>
            </w:r>
          </w:p>
          <w:p w14:paraId="32DF440C">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9）路径退出审核管理，提高退出路径的严谨性。</w:t>
            </w:r>
          </w:p>
          <w:p w14:paraId="7785F9DD">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10）路径完成评估管理，提高完成路径的严谨性。</w:t>
            </w:r>
          </w:p>
        </w:tc>
      </w:tr>
      <w:tr w14:paraId="729FDAE4">
        <w:tblPrEx>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7BA81E7">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134" w:type="dxa"/>
            <w:tcBorders>
              <w:top w:val="nil"/>
              <w:left w:val="nil"/>
              <w:bottom w:val="single" w:color="auto" w:sz="4" w:space="0"/>
              <w:right w:val="single" w:color="auto" w:sz="4" w:space="0"/>
            </w:tcBorders>
            <w:shd w:val="clear" w:color="auto" w:fill="auto"/>
            <w:vAlign w:val="center"/>
          </w:tcPr>
          <w:p w14:paraId="7C9625E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路径变异</w:t>
            </w:r>
          </w:p>
        </w:tc>
        <w:tc>
          <w:tcPr>
            <w:tcW w:w="6626" w:type="dxa"/>
            <w:tcBorders>
              <w:top w:val="nil"/>
              <w:left w:val="nil"/>
              <w:bottom w:val="single" w:color="auto" w:sz="4" w:space="0"/>
              <w:right w:val="single" w:color="auto" w:sz="4" w:space="0"/>
            </w:tcBorders>
            <w:shd w:val="clear" w:color="auto" w:fill="auto"/>
            <w:vAlign w:val="center"/>
          </w:tcPr>
          <w:p w14:paraId="193F924A">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支持登记路径的变异信息。</w:t>
            </w:r>
          </w:p>
        </w:tc>
      </w:tr>
      <w:tr w14:paraId="291EE23A">
        <w:tblPrEx>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EB72B45">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134" w:type="dxa"/>
            <w:tcBorders>
              <w:top w:val="nil"/>
              <w:left w:val="nil"/>
              <w:bottom w:val="single" w:color="auto" w:sz="4" w:space="0"/>
              <w:right w:val="single" w:color="auto" w:sz="4" w:space="0"/>
            </w:tcBorders>
            <w:shd w:val="clear" w:color="auto" w:fill="auto"/>
            <w:vAlign w:val="center"/>
          </w:tcPr>
          <w:p w14:paraId="1597875B">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提醒助手</w:t>
            </w:r>
          </w:p>
        </w:tc>
        <w:tc>
          <w:tcPr>
            <w:tcW w:w="6626" w:type="dxa"/>
            <w:tcBorders>
              <w:top w:val="nil"/>
              <w:left w:val="nil"/>
              <w:bottom w:val="single" w:color="auto" w:sz="4" w:space="0"/>
              <w:right w:val="single" w:color="auto" w:sz="4" w:space="0"/>
            </w:tcBorders>
            <w:shd w:val="clear" w:color="auto" w:fill="auto"/>
            <w:vAlign w:val="center"/>
          </w:tcPr>
          <w:p w14:paraId="052E02E2">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提醒当前阶段未执行、新增、撤销、待停止医嘱信息，需要执行的文档信息、需要执行的日常工作任务、需要执行的手术信息、预出院病人信息等。</w:t>
            </w:r>
          </w:p>
        </w:tc>
      </w:tr>
      <w:tr w14:paraId="780CDF6A">
        <w:tblPrEx>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DA97F87">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134" w:type="dxa"/>
            <w:tcBorders>
              <w:top w:val="nil"/>
              <w:left w:val="nil"/>
              <w:bottom w:val="single" w:color="auto" w:sz="4" w:space="0"/>
              <w:right w:val="single" w:color="auto" w:sz="4" w:space="0"/>
            </w:tcBorders>
            <w:shd w:val="clear" w:color="auto" w:fill="auto"/>
            <w:vAlign w:val="center"/>
          </w:tcPr>
          <w:p w14:paraId="31AF089F">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病人管理</w:t>
            </w:r>
          </w:p>
        </w:tc>
        <w:tc>
          <w:tcPr>
            <w:tcW w:w="6626" w:type="dxa"/>
            <w:tcBorders>
              <w:top w:val="nil"/>
              <w:left w:val="nil"/>
              <w:bottom w:val="single" w:color="auto" w:sz="4" w:space="0"/>
              <w:right w:val="single" w:color="auto" w:sz="4" w:space="0"/>
            </w:tcBorders>
            <w:shd w:val="clear" w:color="auto" w:fill="auto"/>
            <w:vAlign w:val="center"/>
          </w:tcPr>
          <w:p w14:paraId="55F3B869">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可统计病人临床路径信息、病人路径综合查询、路径变异信息查询、病人出径状态查询、病人路径变异信息。</w:t>
            </w:r>
          </w:p>
        </w:tc>
      </w:tr>
      <w:tr w14:paraId="45C93DCB">
        <w:tblPrEx>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95F4A5D">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1134" w:type="dxa"/>
            <w:tcBorders>
              <w:top w:val="nil"/>
              <w:left w:val="nil"/>
              <w:bottom w:val="single" w:color="auto" w:sz="4" w:space="0"/>
              <w:right w:val="single" w:color="auto" w:sz="4" w:space="0"/>
            </w:tcBorders>
            <w:shd w:val="clear" w:color="auto" w:fill="auto"/>
            <w:vAlign w:val="center"/>
          </w:tcPr>
          <w:p w14:paraId="23160702">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基础数据</w:t>
            </w:r>
          </w:p>
        </w:tc>
        <w:tc>
          <w:tcPr>
            <w:tcW w:w="6626" w:type="dxa"/>
            <w:tcBorders>
              <w:top w:val="nil"/>
              <w:left w:val="nil"/>
              <w:bottom w:val="single" w:color="auto" w:sz="4" w:space="0"/>
              <w:right w:val="single" w:color="auto" w:sz="4" w:space="0"/>
            </w:tcBorders>
            <w:shd w:val="clear" w:color="auto" w:fill="auto"/>
            <w:vAlign w:val="center"/>
          </w:tcPr>
          <w:p w14:paraId="16F53289">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支持诊疗过程阶段、医嘱类别、变异分类、表单分类、诊断ICD、手术诊断、专业病区、诊疗知识库、诊断指南、参考文献、病种关键字、标准临床诊断术语字典等基础数据维护功能。</w:t>
            </w:r>
          </w:p>
        </w:tc>
      </w:tr>
      <w:tr w14:paraId="1DAA37F7">
        <w:tblPrEx>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F9AA1D4">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1134" w:type="dxa"/>
            <w:tcBorders>
              <w:top w:val="nil"/>
              <w:left w:val="single" w:color="auto" w:sz="4" w:space="0"/>
              <w:bottom w:val="single" w:color="auto" w:sz="4" w:space="0"/>
              <w:right w:val="single" w:color="auto" w:sz="4" w:space="0"/>
            </w:tcBorders>
            <w:shd w:val="clear" w:color="auto" w:fill="auto"/>
            <w:vAlign w:val="center"/>
          </w:tcPr>
          <w:p w14:paraId="3B6BB224">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查询统计</w:t>
            </w:r>
          </w:p>
        </w:tc>
        <w:tc>
          <w:tcPr>
            <w:tcW w:w="6626" w:type="dxa"/>
            <w:tcBorders>
              <w:top w:val="nil"/>
              <w:left w:val="nil"/>
              <w:bottom w:val="single" w:color="auto" w:sz="4" w:space="0"/>
              <w:right w:val="single" w:color="auto" w:sz="4" w:space="0"/>
            </w:tcBorders>
            <w:shd w:val="clear" w:color="auto" w:fill="auto"/>
            <w:vAlign w:val="center"/>
          </w:tcPr>
          <w:p w14:paraId="6447FFB9">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1）支持路径指标分析统计。</w:t>
            </w:r>
          </w:p>
          <w:p w14:paraId="32385B52">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2）支持路径使用情况统计及饼图展示。</w:t>
            </w:r>
          </w:p>
          <w:p w14:paraId="69E21E2C">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3）支持路径使用排名情况。</w:t>
            </w:r>
          </w:p>
          <w:p w14:paraId="1BFD3B78">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4）支持路径医嘱使用次数。</w:t>
            </w:r>
          </w:p>
          <w:p w14:paraId="3D4DEC49">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5）支持按二级、三级明细项目统计临床路径病人费用。</w:t>
            </w:r>
          </w:p>
          <w:p w14:paraId="4A924BE6">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6）支持医嘱使用频率报表。</w:t>
            </w:r>
          </w:p>
          <w:p w14:paraId="04CD338F">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7）支持中途退出审核查询。</w:t>
            </w:r>
          </w:p>
          <w:p w14:paraId="0E92388D">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8）支持统计住院病人入径对比明细。</w:t>
            </w:r>
          </w:p>
          <w:p w14:paraId="2378E72A">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9）支持统计变异出入路径使用情况。</w:t>
            </w:r>
          </w:p>
        </w:tc>
      </w:tr>
      <w:tr w14:paraId="2744F728">
        <w:tblPrEx>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1FD588">
            <w:pPr>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C44A59">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集成应用</w:t>
            </w:r>
          </w:p>
        </w:tc>
        <w:tc>
          <w:tcPr>
            <w:tcW w:w="6626" w:type="dxa"/>
            <w:tcBorders>
              <w:top w:val="single" w:color="auto" w:sz="4" w:space="0"/>
              <w:left w:val="single" w:color="auto" w:sz="4" w:space="0"/>
              <w:bottom w:val="single" w:color="auto" w:sz="4" w:space="0"/>
              <w:right w:val="single" w:color="auto" w:sz="4" w:space="0"/>
            </w:tcBorders>
            <w:shd w:val="clear" w:color="auto" w:fill="auto"/>
            <w:vAlign w:val="center"/>
          </w:tcPr>
          <w:p w14:paraId="7E7D73FB">
            <w:pPr>
              <w:pStyle w:val="87"/>
              <w:spacing w:line="240" w:lineRule="atLeast"/>
              <w:ind w:left="0" w:firstLine="0"/>
              <w:jc w:val="left"/>
              <w:rPr>
                <w:rFonts w:cs="宋体" w:asciiTheme="minorEastAsia" w:hAnsiTheme="minorEastAsia" w:eastAsiaTheme="minorEastAsia"/>
              </w:rPr>
            </w:pPr>
            <w:r>
              <w:rPr>
                <w:rFonts w:hint="eastAsia" w:cs="宋体" w:asciiTheme="minorEastAsia" w:hAnsiTheme="minorEastAsia" w:eastAsiaTheme="minorEastAsia"/>
              </w:rPr>
              <w:t>和院内HIS系统和医嘱系统一体化集成应用。并和总院区功能一致，数据同步，信息共享。</w:t>
            </w:r>
          </w:p>
        </w:tc>
      </w:tr>
    </w:tbl>
    <w:p w14:paraId="2F2E4C67">
      <w:pPr>
        <w:pStyle w:val="85"/>
        <w:spacing w:before="46" w:after="46"/>
        <w:ind w:firstLine="0" w:firstLineChars="0"/>
      </w:pPr>
    </w:p>
    <w:p w14:paraId="490302C4">
      <w:pPr>
        <w:pStyle w:val="84"/>
        <w:ind w:left="0" w:firstLine="0"/>
        <w:rPr>
          <w:rFonts w:asciiTheme="minorEastAsia" w:hAnsiTheme="minorEastAsia" w:eastAsiaTheme="minorEastAsia"/>
        </w:rPr>
      </w:pPr>
      <w:r>
        <w:rPr>
          <w:rFonts w:hint="eastAsia" w:asciiTheme="minorEastAsia" w:hAnsiTheme="minorEastAsia" w:eastAsiaTheme="minorEastAsia"/>
        </w:rPr>
        <w:t>2.2.4电子票据管理信息系统</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9607"/>
      </w:tblGrid>
      <w:tr w14:paraId="7098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58AA9724">
            <w:pPr>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4687" w:type="pct"/>
            <w:shd w:val="clear" w:color="auto" w:fill="auto"/>
            <w:vAlign w:val="center"/>
          </w:tcPr>
          <w:p w14:paraId="479C598A">
            <w:pPr>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功能参数要求</w:t>
            </w:r>
          </w:p>
        </w:tc>
      </w:tr>
      <w:tr w14:paraId="7888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77B3609F">
            <w:pPr>
              <w:spacing w:line="240" w:lineRule="atLeast"/>
              <w:jc w:val="center"/>
              <w:rPr>
                <w:rFonts w:ascii="宋体" w:hAnsi="宋体" w:eastAsia="宋体" w:cs="宋体"/>
                <w:b/>
                <w:szCs w:val="21"/>
              </w:rPr>
            </w:pPr>
            <w:r>
              <w:rPr>
                <w:rFonts w:hint="eastAsia" w:ascii="宋体" w:hAnsi="宋体" w:eastAsia="宋体" w:cs="宋体"/>
                <w:b/>
                <w:szCs w:val="21"/>
              </w:rPr>
              <w:t>1</w:t>
            </w:r>
          </w:p>
        </w:tc>
        <w:tc>
          <w:tcPr>
            <w:tcW w:w="4687" w:type="pct"/>
            <w:shd w:val="clear" w:color="auto" w:fill="auto"/>
          </w:tcPr>
          <w:p w14:paraId="1807F067">
            <w:pPr>
              <w:spacing w:line="240" w:lineRule="atLeast"/>
              <w:rPr>
                <w:rFonts w:ascii="宋体" w:hAnsi="宋体" w:eastAsia="宋体" w:cs="宋体"/>
                <w:szCs w:val="21"/>
              </w:rPr>
            </w:pPr>
            <w:r>
              <w:rPr>
                <w:rFonts w:hint="eastAsia" w:ascii="宋体" w:hAnsi="宋体" w:eastAsia="宋体" w:cs="宋体"/>
                <w:szCs w:val="21"/>
              </w:rPr>
              <w:t>一、总体需求：</w:t>
            </w:r>
          </w:p>
          <w:p w14:paraId="0EC945D9">
            <w:pPr>
              <w:spacing w:line="240" w:lineRule="atLeast"/>
              <w:rPr>
                <w:rFonts w:ascii="宋体" w:hAnsi="宋体" w:eastAsia="宋体" w:cs="宋体"/>
                <w:szCs w:val="21"/>
              </w:rPr>
            </w:pPr>
            <w:r>
              <w:rPr>
                <w:rFonts w:hint="eastAsia" w:ascii="宋体" w:hAnsi="宋体" w:eastAsia="宋体" w:cs="宋体"/>
                <w:szCs w:val="21"/>
              </w:rPr>
              <w:t>满足财政电子票据改革的需要,严格遵循财政部的财政电子票据管理改革的标准规范和业务要求，接入电子票据，完成电子票据的开具、送达、查验、入账、归档，满足财政统一规范财政电子票据管理的需求，并实现与“河南省财政电子票据管理系统”的无缝对接。</w:t>
            </w:r>
          </w:p>
          <w:p w14:paraId="37ABFA4F">
            <w:pPr>
              <w:spacing w:line="240" w:lineRule="atLeast"/>
              <w:rPr>
                <w:rFonts w:ascii="宋体" w:hAnsi="宋体" w:eastAsia="宋体" w:cs="宋体"/>
                <w:szCs w:val="21"/>
              </w:rPr>
            </w:pPr>
            <w:r>
              <w:rPr>
                <w:rFonts w:hint="eastAsia" w:ascii="宋体" w:hAnsi="宋体" w:eastAsia="宋体" w:cs="宋体"/>
                <w:szCs w:val="21"/>
              </w:rPr>
              <w:t>二、功能需求：</w:t>
            </w:r>
          </w:p>
          <w:p w14:paraId="4B098D3B">
            <w:pPr>
              <w:spacing w:line="240" w:lineRule="atLeast"/>
              <w:rPr>
                <w:rFonts w:ascii="宋体" w:hAnsi="宋体" w:eastAsia="宋体" w:cs="宋体"/>
                <w:szCs w:val="21"/>
              </w:rPr>
            </w:pPr>
            <w:r>
              <w:rPr>
                <w:rFonts w:hint="eastAsia" w:ascii="宋体" w:hAnsi="宋体" w:eastAsia="宋体" w:cs="宋体"/>
                <w:szCs w:val="21"/>
              </w:rPr>
              <w:t>1.电子票据管理</w:t>
            </w:r>
          </w:p>
          <w:p w14:paraId="5455537B">
            <w:pPr>
              <w:spacing w:line="240" w:lineRule="atLeast"/>
              <w:rPr>
                <w:rFonts w:ascii="宋体" w:hAnsi="宋体" w:eastAsia="宋体" w:cs="宋体"/>
                <w:szCs w:val="21"/>
              </w:rPr>
            </w:pPr>
            <w:r>
              <w:rPr>
                <w:rFonts w:hint="eastAsia" w:ascii="宋体" w:hAnsi="宋体" w:eastAsia="宋体" w:cs="宋体"/>
                <w:szCs w:val="21"/>
              </w:rPr>
              <w:t>电子票据申领：单位向财政部门发起用票申请，由票据管理人员在线填写申领单，并提交给财政，财政接收到申领信息，经审批后，并下发票号信息，学校进行入库确认。</w:t>
            </w:r>
          </w:p>
          <w:p w14:paraId="26E84537">
            <w:pPr>
              <w:spacing w:line="240" w:lineRule="atLeast"/>
              <w:rPr>
                <w:rFonts w:ascii="宋体" w:hAnsi="宋体" w:eastAsia="宋体" w:cs="宋体"/>
                <w:szCs w:val="21"/>
              </w:rPr>
            </w:pPr>
            <w:r>
              <w:rPr>
                <w:rFonts w:hint="eastAsia" w:ascii="宋体" w:hAnsi="宋体" w:eastAsia="宋体" w:cs="宋体"/>
                <w:szCs w:val="21"/>
              </w:rPr>
              <w:t>电子票据号码分发：电子票据号码发放，将电子票据号码发放到各收费窗口和自助开票点。</w:t>
            </w:r>
          </w:p>
          <w:p w14:paraId="374A88E8">
            <w:pPr>
              <w:spacing w:line="240" w:lineRule="atLeast"/>
              <w:rPr>
                <w:rFonts w:ascii="宋体" w:hAnsi="宋体" w:eastAsia="宋体" w:cs="宋体"/>
                <w:szCs w:val="21"/>
              </w:rPr>
            </w:pPr>
            <w:r>
              <w:rPr>
                <w:rFonts w:hint="eastAsia" w:ascii="宋体" w:hAnsi="宋体" w:eastAsia="宋体" w:cs="宋体"/>
                <w:szCs w:val="21"/>
              </w:rPr>
              <w:t>电子票据在线开具：收费时，可采用直接登录平台在线开具电子票据，如往来票、捐赠票票据，包括手工录入与批量导入。</w:t>
            </w:r>
          </w:p>
          <w:p w14:paraId="4CAC655B">
            <w:pPr>
              <w:spacing w:line="240" w:lineRule="atLeast"/>
              <w:rPr>
                <w:rFonts w:ascii="宋体" w:hAnsi="宋体" w:eastAsia="宋体" w:cs="宋体"/>
                <w:szCs w:val="21"/>
              </w:rPr>
            </w:pPr>
            <w:r>
              <w:rPr>
                <w:rFonts w:hint="eastAsia" w:ascii="宋体" w:hAnsi="宋体" w:eastAsia="宋体" w:cs="宋体"/>
                <w:szCs w:val="21"/>
              </w:rPr>
              <w:t>电子票据接口开具：发生收费结算业务时，由业务系统调用平台接口开具电子票据，支持单笔与批量开票。</w:t>
            </w:r>
          </w:p>
          <w:p w14:paraId="09B8E844">
            <w:pPr>
              <w:spacing w:line="240" w:lineRule="atLeast"/>
              <w:rPr>
                <w:rFonts w:ascii="宋体" w:hAnsi="宋体" w:eastAsia="宋体" w:cs="宋体"/>
                <w:szCs w:val="21"/>
              </w:rPr>
            </w:pPr>
            <w:r>
              <w:rPr>
                <w:rFonts w:hint="eastAsia" w:ascii="宋体" w:hAnsi="宋体" w:eastAsia="宋体" w:cs="宋体"/>
                <w:szCs w:val="21"/>
              </w:rPr>
              <w:t>电子票据冲红：当单位发生退费业务时，需要对已开具的电子票据进行冲红。</w:t>
            </w:r>
          </w:p>
          <w:p w14:paraId="59F2107C">
            <w:pPr>
              <w:spacing w:line="240" w:lineRule="atLeast"/>
              <w:rPr>
                <w:rFonts w:ascii="宋体" w:hAnsi="宋体" w:eastAsia="宋体" w:cs="宋体"/>
                <w:szCs w:val="21"/>
              </w:rPr>
            </w:pPr>
            <w:r>
              <w:rPr>
                <w:rFonts w:hint="eastAsia" w:ascii="宋体" w:hAnsi="宋体" w:eastAsia="宋体" w:cs="宋体"/>
                <w:szCs w:val="21"/>
              </w:rPr>
              <w:t>2.电子票据通知：</w:t>
            </w:r>
          </w:p>
          <w:p w14:paraId="298DEA53">
            <w:pPr>
              <w:spacing w:line="240" w:lineRule="atLeast"/>
              <w:rPr>
                <w:rFonts w:ascii="宋体" w:hAnsi="宋体" w:eastAsia="宋体" w:cs="宋体"/>
                <w:szCs w:val="21"/>
              </w:rPr>
            </w:pPr>
            <w:r>
              <w:rPr>
                <w:rFonts w:hint="eastAsia" w:ascii="宋体" w:hAnsi="宋体" w:eastAsia="宋体" w:cs="宋体"/>
                <w:szCs w:val="21"/>
              </w:rPr>
              <w:t>打印告知单通知：窗口工作人员可打印告知单交给缴款人，缴款人可登录财政电子票据查验网站进行查验</w:t>
            </w:r>
          </w:p>
          <w:p w14:paraId="7F120806">
            <w:pPr>
              <w:spacing w:line="240" w:lineRule="atLeast"/>
              <w:rPr>
                <w:rFonts w:ascii="宋体" w:hAnsi="宋体" w:eastAsia="宋体" w:cs="宋体"/>
                <w:szCs w:val="21"/>
              </w:rPr>
            </w:pPr>
            <w:r>
              <w:rPr>
                <w:rFonts w:hint="eastAsia" w:ascii="宋体" w:hAnsi="宋体" w:eastAsia="宋体" w:cs="宋体"/>
                <w:szCs w:val="21"/>
              </w:rPr>
              <w:t>公众号/生活号通知：缴款人需要提前关注公众号、生活号、小程序等，平台开具电子票据成功，小程序推送电子票据信息。</w:t>
            </w:r>
          </w:p>
          <w:p w14:paraId="1FA7D3F2">
            <w:pPr>
              <w:spacing w:line="240" w:lineRule="atLeast"/>
              <w:rPr>
                <w:rFonts w:ascii="宋体" w:hAnsi="宋体" w:eastAsia="宋体" w:cs="宋体"/>
                <w:szCs w:val="21"/>
              </w:rPr>
            </w:pPr>
            <w:r>
              <w:rPr>
                <w:rFonts w:hint="eastAsia" w:ascii="宋体" w:hAnsi="宋体" w:eastAsia="宋体" w:cs="宋体"/>
                <w:szCs w:val="21"/>
              </w:rPr>
              <w:t>3.取票服务：</w:t>
            </w:r>
          </w:p>
          <w:p w14:paraId="71EB5E33">
            <w:pPr>
              <w:spacing w:line="240" w:lineRule="atLeast"/>
              <w:rPr>
                <w:rFonts w:ascii="宋体" w:hAnsi="宋体" w:eastAsia="宋体" w:cs="宋体"/>
                <w:szCs w:val="21"/>
              </w:rPr>
            </w:pPr>
            <w:r>
              <w:rPr>
                <w:rFonts w:hint="eastAsia" w:ascii="宋体" w:hAnsi="宋体" w:eastAsia="宋体" w:cs="宋体"/>
                <w:szCs w:val="21"/>
              </w:rPr>
              <w:t>财政服务网站取票：缴款人通过财政建设的电子票据公共查验网站，根据电子票据相关要素获取电子票据，可以根据需要下载。</w:t>
            </w:r>
          </w:p>
          <w:p w14:paraId="419D5C6D">
            <w:pPr>
              <w:spacing w:line="240" w:lineRule="atLeast"/>
              <w:rPr>
                <w:rFonts w:ascii="宋体" w:hAnsi="宋体" w:eastAsia="宋体" w:cs="宋体"/>
                <w:szCs w:val="21"/>
              </w:rPr>
            </w:pPr>
            <w:r>
              <w:rPr>
                <w:rFonts w:hint="eastAsia" w:ascii="宋体" w:hAnsi="宋体" w:eastAsia="宋体" w:cs="宋体"/>
                <w:szCs w:val="21"/>
              </w:rPr>
              <w:t>公众号/生活号取票：缴款人可通过公众号、生活号，查看电子票据通知信息，通过取票小程序，获取电子票据。根据需要选择发送到邮箱、微信卡包、本地。</w:t>
            </w:r>
          </w:p>
          <w:p w14:paraId="1D7377D2">
            <w:pPr>
              <w:spacing w:line="240" w:lineRule="atLeast"/>
              <w:rPr>
                <w:rFonts w:ascii="宋体" w:hAnsi="宋体" w:eastAsia="宋体" w:cs="宋体"/>
                <w:szCs w:val="21"/>
              </w:rPr>
            </w:pPr>
            <w:r>
              <w:rPr>
                <w:rFonts w:hint="eastAsia" w:ascii="宋体" w:hAnsi="宋体" w:eastAsia="宋体" w:cs="宋体"/>
                <w:szCs w:val="21"/>
              </w:rPr>
              <w:t>4．统计报表：</w:t>
            </w:r>
          </w:p>
          <w:p w14:paraId="10ACE862">
            <w:pPr>
              <w:spacing w:line="240" w:lineRule="atLeast"/>
              <w:rPr>
                <w:rFonts w:ascii="宋体" w:hAnsi="宋体" w:eastAsia="宋体" w:cs="宋体"/>
                <w:szCs w:val="21"/>
              </w:rPr>
            </w:pPr>
            <w:r>
              <w:rPr>
                <w:rFonts w:hint="eastAsia" w:ascii="宋体" w:hAnsi="宋体" w:eastAsia="宋体" w:cs="宋体"/>
                <w:szCs w:val="21"/>
              </w:rPr>
              <w:t>常规报表包括库存结余表、票据领发情况、票据作废情况、票据领用存情况、单位领入情况表、票据分发情况等报表。</w:t>
            </w:r>
          </w:p>
          <w:p w14:paraId="21EBC95D">
            <w:pPr>
              <w:spacing w:line="240" w:lineRule="atLeast"/>
              <w:rPr>
                <w:rFonts w:ascii="宋体" w:hAnsi="宋体" w:eastAsia="宋体" w:cs="宋体"/>
                <w:szCs w:val="21"/>
              </w:rPr>
            </w:pPr>
            <w:r>
              <w:rPr>
                <w:rFonts w:hint="eastAsia" w:ascii="宋体" w:hAnsi="宋体" w:eastAsia="宋体" w:cs="宋体"/>
                <w:szCs w:val="21"/>
              </w:rPr>
              <w:t>开票明细表、开票汇总表，单位收费情况等报表。</w:t>
            </w:r>
          </w:p>
          <w:p w14:paraId="05057D85">
            <w:pPr>
              <w:spacing w:line="240" w:lineRule="atLeast"/>
              <w:rPr>
                <w:rFonts w:ascii="宋体" w:hAnsi="宋体" w:eastAsia="宋体" w:cs="宋体"/>
                <w:szCs w:val="21"/>
              </w:rPr>
            </w:pPr>
            <w:r>
              <w:rPr>
                <w:rFonts w:hint="eastAsia" w:ascii="宋体" w:hAnsi="宋体" w:eastAsia="宋体" w:cs="宋体"/>
                <w:szCs w:val="21"/>
              </w:rPr>
              <w:t>收费员汇总表、缴款渠道汇总表、日报明细表等报表。</w:t>
            </w:r>
          </w:p>
          <w:p w14:paraId="1C384657">
            <w:pPr>
              <w:spacing w:line="240" w:lineRule="atLeast"/>
              <w:rPr>
                <w:rFonts w:ascii="宋体" w:hAnsi="宋体" w:eastAsia="宋体" w:cs="宋体"/>
                <w:szCs w:val="21"/>
              </w:rPr>
            </w:pPr>
            <w:r>
              <w:rPr>
                <w:rFonts w:hint="eastAsia" w:ascii="宋体" w:hAnsi="宋体" w:eastAsia="宋体" w:cs="宋体"/>
                <w:szCs w:val="21"/>
              </w:rPr>
              <w:t>5.打印业务票据：</w:t>
            </w:r>
          </w:p>
          <w:p w14:paraId="2C9955E4">
            <w:pPr>
              <w:spacing w:line="240" w:lineRule="atLeast"/>
              <w:rPr>
                <w:rFonts w:ascii="宋体" w:hAnsi="宋体" w:eastAsia="宋体" w:cs="宋体"/>
                <w:szCs w:val="21"/>
              </w:rPr>
            </w:pPr>
            <w:r>
              <w:rPr>
                <w:rFonts w:hint="eastAsia" w:ascii="宋体" w:hAnsi="宋体" w:eastAsia="宋体" w:cs="宋体"/>
                <w:szCs w:val="21"/>
              </w:rPr>
              <w:t>需支持：打印业务单据是患者根据业务凭证或患者有效身份信息（身份证、社保卡等）通过自助机将办理的业务信息进行打印的过程。</w:t>
            </w:r>
          </w:p>
          <w:p w14:paraId="774FE78D">
            <w:pPr>
              <w:spacing w:line="240" w:lineRule="atLeast"/>
              <w:rPr>
                <w:rFonts w:ascii="宋体" w:hAnsi="宋体" w:eastAsia="宋体" w:cs="宋体"/>
                <w:szCs w:val="21"/>
              </w:rPr>
            </w:pPr>
            <w:r>
              <w:rPr>
                <w:rFonts w:hint="eastAsia" w:ascii="宋体" w:hAnsi="宋体" w:eastAsia="宋体" w:cs="宋体"/>
                <w:szCs w:val="21"/>
              </w:rPr>
              <w:t>6.电子票据存储</w:t>
            </w:r>
          </w:p>
          <w:p w14:paraId="1034BCC7">
            <w:pPr>
              <w:spacing w:line="240" w:lineRule="atLeast"/>
              <w:rPr>
                <w:rFonts w:ascii="宋体" w:hAnsi="宋体" w:eastAsia="宋体" w:cs="宋体"/>
                <w:szCs w:val="21"/>
              </w:rPr>
            </w:pPr>
            <w:r>
              <w:rPr>
                <w:rFonts w:hint="eastAsia" w:ascii="宋体" w:hAnsi="宋体" w:eastAsia="宋体" w:cs="宋体"/>
                <w:szCs w:val="21"/>
              </w:rPr>
              <w:t>电子票据接收：医院财政票据电子化管理系统通过财政提供的电子票据服务平台之间的接口，按照全国统一信用代码定时（或实时）接收电子票据信息。</w:t>
            </w:r>
          </w:p>
          <w:p w14:paraId="5BA24588">
            <w:pPr>
              <w:spacing w:line="240" w:lineRule="atLeast"/>
              <w:rPr>
                <w:rFonts w:ascii="宋体" w:hAnsi="宋体" w:eastAsia="宋体" w:cs="宋体"/>
                <w:szCs w:val="21"/>
              </w:rPr>
            </w:pPr>
            <w:r>
              <w:rPr>
                <w:rFonts w:hint="eastAsia" w:ascii="宋体" w:hAnsi="宋体" w:eastAsia="宋体" w:cs="宋体"/>
                <w:szCs w:val="21"/>
              </w:rPr>
              <w:t>电子票据归档：对于接收到的电子票据版式文件，医院财政票据电子化管理系统会按照日期、票据种类等条件进行自动归档，方便日常查询调用时的关键字检索查找到对应的票据版式文件，满足财政对于电子票据三方归档（财政、医院、患者各存储归档一份）的要求。</w:t>
            </w:r>
          </w:p>
          <w:p w14:paraId="6B90F456">
            <w:pPr>
              <w:spacing w:line="240" w:lineRule="atLeast"/>
              <w:rPr>
                <w:rFonts w:ascii="宋体" w:hAnsi="宋体" w:eastAsia="宋体" w:cs="宋体"/>
                <w:szCs w:val="21"/>
              </w:rPr>
            </w:pPr>
            <w:r>
              <w:rPr>
                <w:rFonts w:hint="eastAsia" w:ascii="宋体" w:hAnsi="宋体" w:eastAsia="宋体" w:cs="宋体"/>
                <w:szCs w:val="21"/>
              </w:rPr>
              <w:t>接口开发及联调需求：</w:t>
            </w:r>
          </w:p>
          <w:p w14:paraId="76EB2EF3">
            <w:pPr>
              <w:spacing w:line="240" w:lineRule="atLeast"/>
              <w:rPr>
                <w:rFonts w:ascii="宋体" w:hAnsi="宋体" w:eastAsia="宋体" w:cs="宋体"/>
                <w:szCs w:val="21"/>
              </w:rPr>
            </w:pPr>
            <w:r>
              <w:rPr>
                <w:rFonts w:hint="eastAsia" w:ascii="宋体" w:hAnsi="宋体" w:eastAsia="宋体" w:cs="宋体"/>
                <w:szCs w:val="21"/>
              </w:rPr>
              <w:t>业务系统接口：电子票据系统需开发与缴费系统的数据交换接口，实现缴费业务数据的自动传输、电子票据的自动生成等。</w:t>
            </w:r>
          </w:p>
          <w:p w14:paraId="77BD88DF">
            <w:pPr>
              <w:spacing w:line="240" w:lineRule="atLeast"/>
              <w:rPr>
                <w:rFonts w:ascii="宋体" w:hAnsi="宋体" w:eastAsia="宋体" w:cs="宋体"/>
                <w:szCs w:val="21"/>
              </w:rPr>
            </w:pPr>
            <w:r>
              <w:rPr>
                <w:rFonts w:hint="eastAsia" w:ascii="宋体" w:hAnsi="宋体" w:eastAsia="宋体" w:cs="宋体"/>
                <w:szCs w:val="21"/>
              </w:rPr>
              <w:t>与财政电子票据系统数据交换：需要通过交换服务与财政电子票据系统进行基础信息下载、票据库存信息同步、开票信息上传、电子票据本身上传的定时数据交换。</w:t>
            </w:r>
          </w:p>
          <w:p w14:paraId="0F540A84">
            <w:pPr>
              <w:spacing w:line="240" w:lineRule="atLeas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7、电子签名需求：</w:t>
            </w:r>
          </w:p>
          <w:p w14:paraId="11C8050E">
            <w:pPr>
              <w:spacing w:line="240" w:lineRule="atLeast"/>
              <w:rPr>
                <w:rFonts w:ascii="宋体" w:hAnsi="宋体" w:eastAsia="宋体" w:cs="宋体"/>
                <w:color w:val="FF0000"/>
                <w:szCs w:val="21"/>
              </w:rPr>
            </w:pPr>
            <w:r>
              <w:rPr>
                <w:rFonts w:hint="eastAsia" w:ascii="宋体" w:hAnsi="宋体" w:eastAsia="宋体" w:cs="宋体"/>
                <w:color w:val="000000" w:themeColor="text1"/>
                <w:szCs w:val="21"/>
                <w14:textFill>
                  <w14:solidFill>
                    <w14:schemeClr w14:val="tx1"/>
                  </w14:solidFill>
                </w14:textFill>
              </w:rPr>
              <w:t>含五年单位数字证书。</w:t>
            </w:r>
          </w:p>
        </w:tc>
      </w:tr>
    </w:tbl>
    <w:p w14:paraId="303FA74D">
      <w:pPr>
        <w:pStyle w:val="84"/>
        <w:ind w:left="0" w:firstLine="0"/>
        <w:rPr>
          <w:rFonts w:asciiTheme="minorEastAsia" w:hAnsiTheme="minorEastAsia" w:eastAsiaTheme="minorEastAsia"/>
        </w:rPr>
      </w:pPr>
      <w:r>
        <w:rPr>
          <w:rFonts w:hint="eastAsia" w:asciiTheme="minorEastAsia" w:hAnsiTheme="minorEastAsia" w:eastAsiaTheme="minorEastAsia"/>
        </w:rPr>
        <w:t>2.2.5综合预约管理系统</w:t>
      </w:r>
    </w:p>
    <w:p w14:paraId="7C7D1265">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1、挂号预约系统</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535"/>
        <w:gridCol w:w="8071"/>
      </w:tblGrid>
      <w:tr w14:paraId="291F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vAlign w:val="center"/>
          </w:tcPr>
          <w:p w14:paraId="18729A7B">
            <w:pPr>
              <w:widowControl/>
              <w:spacing w:line="240" w:lineRule="atLeast"/>
              <w:jc w:val="center"/>
              <w:rPr>
                <w:rFonts w:cs="宋体" w:asciiTheme="minorEastAsia" w:hAnsiTheme="minorEastAsia"/>
                <w:color w:val="000000"/>
                <w:kern w:val="0"/>
                <w:szCs w:val="21"/>
              </w:rPr>
            </w:pPr>
            <w:r>
              <w:rPr>
                <w:rFonts w:hint="eastAsia" w:asciiTheme="minorEastAsia" w:hAnsiTheme="minorEastAsia"/>
                <w:b/>
                <w:bCs/>
                <w:szCs w:val="21"/>
              </w:rPr>
              <w:t>序号</w:t>
            </w:r>
          </w:p>
        </w:tc>
        <w:tc>
          <w:tcPr>
            <w:tcW w:w="749" w:type="pct"/>
            <w:shd w:val="clear" w:color="auto" w:fill="auto"/>
            <w:vAlign w:val="center"/>
          </w:tcPr>
          <w:p w14:paraId="7A9A8C24">
            <w:pPr>
              <w:widowControl/>
              <w:spacing w:line="240" w:lineRule="atLeast"/>
              <w:jc w:val="center"/>
              <w:rPr>
                <w:rFonts w:cs="宋体" w:asciiTheme="minorEastAsia" w:hAnsiTheme="minorEastAsia"/>
                <w:color w:val="000000"/>
                <w:kern w:val="0"/>
                <w:szCs w:val="21"/>
              </w:rPr>
            </w:pPr>
            <w:r>
              <w:rPr>
                <w:rFonts w:hint="eastAsia" w:asciiTheme="minorEastAsia" w:hAnsiTheme="minorEastAsia"/>
                <w:b/>
                <w:bCs/>
                <w:szCs w:val="21"/>
              </w:rPr>
              <w:t>功能模块</w:t>
            </w:r>
          </w:p>
        </w:tc>
        <w:tc>
          <w:tcPr>
            <w:tcW w:w="3938" w:type="pct"/>
            <w:shd w:val="clear" w:color="auto" w:fill="auto"/>
            <w:vAlign w:val="center"/>
          </w:tcPr>
          <w:p w14:paraId="691F6EC2">
            <w:pPr>
              <w:widowControl/>
              <w:spacing w:line="240" w:lineRule="atLeast"/>
              <w:jc w:val="center"/>
              <w:rPr>
                <w:rFonts w:cs="宋体" w:asciiTheme="minorEastAsia" w:hAnsiTheme="minorEastAsia"/>
                <w:color w:val="000000"/>
                <w:kern w:val="0"/>
                <w:szCs w:val="21"/>
              </w:rPr>
            </w:pPr>
            <w:r>
              <w:rPr>
                <w:rFonts w:hint="eastAsia" w:asciiTheme="minorEastAsia" w:hAnsiTheme="minorEastAsia"/>
                <w:b/>
                <w:bCs/>
                <w:szCs w:val="21"/>
              </w:rPr>
              <w:t>功能参数要求</w:t>
            </w:r>
          </w:p>
        </w:tc>
      </w:tr>
      <w:tr w14:paraId="5685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10F5999A">
            <w:pPr>
              <w:widowControl/>
              <w:spacing w:line="240" w:lineRule="atLeast"/>
              <w:jc w:val="left"/>
              <w:rPr>
                <w:rFonts w:cs="宋体" w:asciiTheme="minorEastAsia" w:hAnsiTheme="minorEastAsia"/>
                <w:color w:val="000000"/>
                <w:kern w:val="0"/>
                <w:szCs w:val="21"/>
              </w:rPr>
            </w:pPr>
            <w:r>
              <w:t>1</w:t>
            </w:r>
          </w:p>
        </w:tc>
        <w:tc>
          <w:tcPr>
            <w:tcW w:w="749" w:type="pct"/>
            <w:shd w:val="clear" w:color="auto" w:fill="auto"/>
          </w:tcPr>
          <w:p w14:paraId="1AEB0004">
            <w:pPr>
              <w:widowControl/>
              <w:spacing w:line="240" w:lineRule="atLeast"/>
              <w:jc w:val="left"/>
              <w:rPr>
                <w:rFonts w:cs="宋体" w:asciiTheme="minorEastAsia" w:hAnsiTheme="minorEastAsia"/>
                <w:color w:val="000000"/>
                <w:kern w:val="0"/>
                <w:szCs w:val="21"/>
              </w:rPr>
            </w:pPr>
            <w:r>
              <w:rPr>
                <w:rFonts w:cs="宋体" w:asciiTheme="minorEastAsia" w:hAnsiTheme="minorEastAsia"/>
                <w:color w:val="000000"/>
                <w:kern w:val="0"/>
                <w:szCs w:val="21"/>
              </w:rPr>
              <w:t>号源管理</w:t>
            </w:r>
          </w:p>
        </w:tc>
        <w:tc>
          <w:tcPr>
            <w:tcW w:w="3938" w:type="pct"/>
            <w:shd w:val="clear" w:color="auto" w:fill="auto"/>
          </w:tcPr>
          <w:p w14:paraId="7F5B2B8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支持预约资源号源池统一管理。</w:t>
            </w:r>
          </w:p>
          <w:p w14:paraId="4D634769">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支持按预约资源设置每天最大预约量，支持分时段号源设置，每天可约时间粒度（最小粒度到分钟）。</w:t>
            </w:r>
          </w:p>
          <w:p w14:paraId="05F19A7E">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支持按号源按规则发布，系统根据规则自动生成号源。</w:t>
            </w:r>
          </w:p>
          <w:p w14:paraId="50A5F9A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支持按不同的时令设置号源。</w:t>
            </w:r>
          </w:p>
          <w:p w14:paraId="3905D226">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支持按天显示号源预约情况。</w:t>
            </w:r>
          </w:p>
          <w:p w14:paraId="52956FDE">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szCs w:val="21"/>
              </w:rPr>
              <w:t>★</w:t>
            </w:r>
            <w:r>
              <w:rPr>
                <w:rFonts w:hint="eastAsia" w:cs="宋体" w:asciiTheme="minorEastAsia" w:hAnsiTheme="minorEastAsia"/>
                <w:color w:val="000000"/>
                <w:kern w:val="0"/>
                <w:szCs w:val="21"/>
              </w:rPr>
              <w:t>支持按预约渠道设置号源放号数量。</w:t>
            </w:r>
          </w:p>
          <w:p w14:paraId="4DDD1943">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支持按预约渠道设置号源共享、独享。</w:t>
            </w:r>
          </w:p>
          <w:p w14:paraId="63EF4317">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支持按预约渠道、按预约资源设置号源可约时间段。</w:t>
            </w:r>
          </w:p>
          <w:p w14:paraId="300F9BB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支持按天、按周、按班次设置是否生成预约号源。</w:t>
            </w:r>
          </w:p>
          <w:p w14:paraId="7AAEEE10">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支持号源查询、号源总量、已约号源量及各时段预约情况，并能查看具体就诊人信息。</w:t>
            </w:r>
          </w:p>
        </w:tc>
      </w:tr>
      <w:tr w14:paraId="322F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48B05424">
            <w:pPr>
              <w:widowControl/>
              <w:spacing w:line="240" w:lineRule="atLeast"/>
              <w:jc w:val="left"/>
              <w:rPr>
                <w:rFonts w:cs="宋体" w:asciiTheme="minorEastAsia" w:hAnsiTheme="minorEastAsia"/>
                <w:color w:val="000000"/>
                <w:kern w:val="0"/>
                <w:szCs w:val="21"/>
              </w:rPr>
            </w:pPr>
            <w:r>
              <w:t>2</w:t>
            </w:r>
          </w:p>
        </w:tc>
        <w:tc>
          <w:tcPr>
            <w:tcW w:w="749" w:type="pct"/>
            <w:shd w:val="clear" w:color="auto" w:fill="auto"/>
          </w:tcPr>
          <w:p w14:paraId="3EE4D27A">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排班管理</w:t>
            </w:r>
          </w:p>
        </w:tc>
        <w:tc>
          <w:tcPr>
            <w:tcW w:w="3938" w:type="pct"/>
            <w:shd w:val="clear" w:color="auto" w:fill="auto"/>
          </w:tcPr>
          <w:p w14:paraId="0CAFE451">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支持按诊室排班和按医生排班两种模式。</w:t>
            </w:r>
          </w:p>
          <w:p w14:paraId="591CAD97">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支持按科室自定义配置生成排班的时长（可自定义配置生成7天、30天排班等）</w:t>
            </w:r>
          </w:p>
          <w:p w14:paraId="50DB947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支持一键发布排班规则。</w:t>
            </w:r>
          </w:p>
          <w:p w14:paraId="6E9C6B7C">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支持根据权限分别配置不同查询、修改权限。</w:t>
            </w:r>
          </w:p>
          <w:p w14:paraId="78EF029E">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支持按诊室和按医生两种模式调整排班。</w:t>
            </w:r>
          </w:p>
          <w:p w14:paraId="17DA0A87">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支持预设排班规则，根据排班规则自动生成排班。</w:t>
            </w:r>
          </w:p>
          <w:p w14:paraId="246EB73A">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szCs w:val="21"/>
              </w:rPr>
              <w:t>★</w:t>
            </w:r>
            <w:r>
              <w:rPr>
                <w:rFonts w:hint="eastAsia" w:cs="宋体" w:asciiTheme="minorEastAsia" w:hAnsiTheme="minorEastAsia"/>
                <w:color w:val="000000"/>
                <w:kern w:val="0"/>
                <w:szCs w:val="21"/>
              </w:rPr>
              <w:t>支持医生的停诊、替诊、换诊室功能，且替诊和换诊室功能可将医生的对应预约信息同步迁移过去。</w:t>
            </w:r>
          </w:p>
          <w:p w14:paraId="3FEF25D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支持快捷查看班次下预约信息。</w:t>
            </w:r>
          </w:p>
          <w:p w14:paraId="3D84943A">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支持排班展示顺序调整。</w:t>
            </w:r>
          </w:p>
          <w:p w14:paraId="0AD5A7E0">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支持按周、按月排班方式。</w:t>
            </w:r>
          </w:p>
          <w:p w14:paraId="03A0D083">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支持先排班再排诊室方式。</w:t>
            </w:r>
          </w:p>
        </w:tc>
      </w:tr>
      <w:tr w14:paraId="26B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0FF2C821">
            <w:pPr>
              <w:widowControl/>
              <w:spacing w:line="240" w:lineRule="atLeast"/>
              <w:jc w:val="left"/>
              <w:rPr>
                <w:rFonts w:cs="宋体" w:asciiTheme="minorEastAsia" w:hAnsiTheme="minorEastAsia"/>
                <w:color w:val="000000"/>
                <w:kern w:val="0"/>
                <w:szCs w:val="21"/>
              </w:rPr>
            </w:pPr>
            <w:r>
              <w:t>3</w:t>
            </w:r>
          </w:p>
        </w:tc>
        <w:tc>
          <w:tcPr>
            <w:tcW w:w="749" w:type="pct"/>
            <w:shd w:val="clear" w:color="auto" w:fill="auto"/>
          </w:tcPr>
          <w:p w14:paraId="06707EB6">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调停班管理</w:t>
            </w:r>
          </w:p>
        </w:tc>
        <w:tc>
          <w:tcPr>
            <w:tcW w:w="3938" w:type="pct"/>
            <w:shd w:val="clear" w:color="auto" w:fill="auto"/>
          </w:tcPr>
          <w:p w14:paraId="7E767AFC">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支持调/停班申请、处理、审批</w:t>
            </w:r>
          </w:p>
          <w:p w14:paraId="2FA369AB">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支持调/停班待处理信息站内信提醒。</w:t>
            </w:r>
          </w:p>
          <w:p w14:paraId="4AF2F34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支持调/停班审批后自动处理预约信息，并对涉及预约信息进行相应处理和相应的患者消息推送。</w:t>
            </w:r>
          </w:p>
          <w:p w14:paraId="30BFA6A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支持调/停班审批后自动处理排班。</w:t>
            </w:r>
          </w:p>
          <w:p w14:paraId="4BFA26B4">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支持根据管理科室的权限管理，支持管理科室和门诊科室分别配置不同查询、审批权限。</w:t>
            </w:r>
          </w:p>
          <w:p w14:paraId="00D5CE86">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支持调/停班审批记录根据时间区间进行总览查询和在线导出。</w:t>
            </w:r>
          </w:p>
        </w:tc>
      </w:tr>
      <w:tr w14:paraId="24E2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1C7BCFE7">
            <w:pPr>
              <w:widowControl/>
              <w:spacing w:line="240" w:lineRule="atLeast"/>
              <w:jc w:val="left"/>
              <w:rPr>
                <w:rFonts w:cs="宋体" w:asciiTheme="minorEastAsia" w:hAnsiTheme="minorEastAsia"/>
                <w:color w:val="000000"/>
                <w:kern w:val="0"/>
                <w:szCs w:val="21"/>
              </w:rPr>
            </w:pPr>
            <w:r>
              <w:t>4</w:t>
            </w:r>
          </w:p>
        </w:tc>
        <w:tc>
          <w:tcPr>
            <w:tcW w:w="749" w:type="pct"/>
            <w:shd w:val="clear" w:color="auto" w:fill="auto"/>
          </w:tcPr>
          <w:p w14:paraId="63DFE368">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预约规则引擎</w:t>
            </w:r>
          </w:p>
        </w:tc>
        <w:tc>
          <w:tcPr>
            <w:tcW w:w="3938" w:type="pct"/>
            <w:shd w:val="clear" w:color="auto" w:fill="auto"/>
          </w:tcPr>
          <w:p w14:paraId="70D36DC1">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支持爽约根据预设规则自动进入爽约名单。</w:t>
            </w:r>
          </w:p>
          <w:p w14:paraId="3B482113">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支持根据预设规则限制提前预约时间。</w:t>
            </w:r>
          </w:p>
          <w:p w14:paraId="636C6411">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支持根据预设规则限制允许预约时间。</w:t>
            </w:r>
          </w:p>
          <w:p w14:paraId="31EEDAF9">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支持限制同一患者同一时段不能重复预约。</w:t>
            </w:r>
          </w:p>
          <w:p w14:paraId="20F1875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支持限制同一患者同一科室不能重复预约。</w:t>
            </w:r>
          </w:p>
          <w:p w14:paraId="396657C6">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支持根据改约规则限制改约时间范围。</w:t>
            </w:r>
          </w:p>
          <w:p w14:paraId="63B2DCDE">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支持排班与号源自动匹配生成可约号源。</w:t>
            </w:r>
          </w:p>
          <w:p w14:paraId="28BE16EC">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支持按照科室设定年龄限制、性别限制。</w:t>
            </w:r>
          </w:p>
          <w:p w14:paraId="4DB41186">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支持按照预设规则限制渠道预约数量。</w:t>
            </w:r>
          </w:p>
        </w:tc>
      </w:tr>
      <w:tr w14:paraId="7D9B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24104FF6">
            <w:pPr>
              <w:widowControl/>
              <w:spacing w:line="240" w:lineRule="atLeast"/>
              <w:jc w:val="left"/>
              <w:rPr>
                <w:rFonts w:cs="宋体" w:asciiTheme="minorEastAsia" w:hAnsiTheme="minorEastAsia"/>
                <w:color w:val="000000"/>
                <w:kern w:val="0"/>
                <w:szCs w:val="21"/>
              </w:rPr>
            </w:pPr>
            <w:r>
              <w:t>5</w:t>
            </w:r>
          </w:p>
        </w:tc>
        <w:tc>
          <w:tcPr>
            <w:tcW w:w="749" w:type="pct"/>
            <w:shd w:val="clear" w:color="auto" w:fill="auto"/>
          </w:tcPr>
          <w:p w14:paraId="20C5B970">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提醒设置</w:t>
            </w:r>
          </w:p>
        </w:tc>
        <w:tc>
          <w:tcPr>
            <w:tcW w:w="3938" w:type="pct"/>
            <w:shd w:val="clear" w:color="auto" w:fill="auto"/>
          </w:tcPr>
          <w:p w14:paraId="3B705B24">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支持按科室、按节点自定义消息内容和发送方式。</w:t>
            </w:r>
          </w:p>
          <w:p w14:paraId="791BBBEC">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支持根据各操作节点设置提醒</w:t>
            </w:r>
          </w:p>
          <w:p w14:paraId="5A421FC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支持对提醒对象、提醒方式、提醒内容提醒时机的管理。</w:t>
            </w:r>
          </w:p>
        </w:tc>
      </w:tr>
      <w:tr w14:paraId="5459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7C758A94">
            <w:pPr>
              <w:widowControl/>
              <w:spacing w:line="240" w:lineRule="atLeast"/>
              <w:jc w:val="left"/>
              <w:rPr>
                <w:rFonts w:cs="宋体" w:asciiTheme="minorEastAsia" w:hAnsiTheme="minorEastAsia"/>
                <w:color w:val="000000"/>
                <w:kern w:val="0"/>
                <w:szCs w:val="21"/>
              </w:rPr>
            </w:pPr>
            <w:r>
              <w:t>6</w:t>
            </w:r>
          </w:p>
        </w:tc>
        <w:tc>
          <w:tcPr>
            <w:tcW w:w="749" w:type="pct"/>
            <w:shd w:val="clear" w:color="auto" w:fill="auto"/>
          </w:tcPr>
          <w:p w14:paraId="63C7B382">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决策支持</w:t>
            </w:r>
          </w:p>
        </w:tc>
        <w:tc>
          <w:tcPr>
            <w:tcW w:w="3938" w:type="pct"/>
            <w:shd w:val="clear" w:color="auto" w:fill="auto"/>
          </w:tcPr>
          <w:p w14:paraId="60ED3109">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支持医师工作量统计</w:t>
            </w:r>
          </w:p>
          <w:p w14:paraId="2AF127F9">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支持科室工作量统计</w:t>
            </w:r>
          </w:p>
          <w:p w14:paraId="260FC574">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支持医师预约量统计</w:t>
            </w:r>
          </w:p>
          <w:p w14:paraId="1DF27F9F">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支持科室预约量统计</w:t>
            </w:r>
          </w:p>
          <w:p w14:paraId="3382CA4E">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支持渠道预约量统计</w:t>
            </w:r>
          </w:p>
          <w:p w14:paraId="67318F7E">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支持医师出诊统计</w:t>
            </w:r>
          </w:p>
          <w:p w14:paraId="18CC5F8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支持科室出诊统计</w:t>
            </w:r>
          </w:p>
        </w:tc>
      </w:tr>
      <w:tr w14:paraId="0C3E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187B2D15">
            <w:pPr>
              <w:widowControl/>
              <w:spacing w:line="240" w:lineRule="atLeast"/>
              <w:jc w:val="left"/>
              <w:rPr>
                <w:rFonts w:cs="宋体" w:asciiTheme="minorEastAsia" w:hAnsiTheme="minorEastAsia"/>
                <w:color w:val="000000"/>
                <w:kern w:val="0"/>
                <w:szCs w:val="21"/>
              </w:rPr>
            </w:pPr>
            <w:r>
              <w:t>7</w:t>
            </w:r>
          </w:p>
        </w:tc>
        <w:tc>
          <w:tcPr>
            <w:tcW w:w="749" w:type="pct"/>
            <w:shd w:val="clear" w:color="auto" w:fill="auto"/>
          </w:tcPr>
          <w:p w14:paraId="5199BFCC">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系统设置</w:t>
            </w:r>
          </w:p>
        </w:tc>
        <w:tc>
          <w:tcPr>
            <w:tcW w:w="3938" w:type="pct"/>
            <w:shd w:val="clear" w:color="auto" w:fill="auto"/>
          </w:tcPr>
          <w:p w14:paraId="1EF39312">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支持爽约规则自定义</w:t>
            </w:r>
          </w:p>
          <w:p w14:paraId="20D2A76F">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支持预约规则自定义</w:t>
            </w:r>
          </w:p>
          <w:p w14:paraId="74D97564">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支持签到规则自定义</w:t>
            </w:r>
          </w:p>
          <w:p w14:paraId="702654D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支持支付规则自定义</w:t>
            </w:r>
          </w:p>
          <w:p w14:paraId="368A29C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支持改约限制自定义</w:t>
            </w:r>
          </w:p>
          <w:p w14:paraId="76C7027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支持相应的操作节点开关配置</w:t>
            </w:r>
          </w:p>
        </w:tc>
      </w:tr>
      <w:tr w14:paraId="35EA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4A7B8F03">
            <w:pPr>
              <w:widowControl/>
              <w:spacing w:line="240" w:lineRule="atLeast"/>
              <w:jc w:val="left"/>
              <w:rPr>
                <w:rFonts w:cs="宋体" w:asciiTheme="minorEastAsia" w:hAnsiTheme="minorEastAsia"/>
                <w:color w:val="000000"/>
                <w:kern w:val="0"/>
                <w:szCs w:val="21"/>
              </w:rPr>
            </w:pPr>
            <w:r>
              <w:t>8</w:t>
            </w:r>
          </w:p>
        </w:tc>
        <w:tc>
          <w:tcPr>
            <w:tcW w:w="749" w:type="pct"/>
            <w:shd w:val="clear" w:color="auto" w:fill="auto"/>
          </w:tcPr>
          <w:p w14:paraId="582465B7">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预约挂号</w:t>
            </w:r>
          </w:p>
        </w:tc>
        <w:tc>
          <w:tcPr>
            <w:tcW w:w="3938" w:type="pct"/>
            <w:shd w:val="clear" w:color="auto" w:fill="auto"/>
          </w:tcPr>
          <w:p w14:paraId="663AC2E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支持分时段预约。</w:t>
            </w:r>
          </w:p>
          <w:p w14:paraId="088E3A9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支持电话、窗口、预约中心、分诊台预约</w:t>
            </w:r>
          </w:p>
          <w:p w14:paraId="7E95CD97">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支持按预约规则限制判断。</w:t>
            </w:r>
          </w:p>
          <w:p w14:paraId="5EF25D9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支持无卡预约占号。</w:t>
            </w:r>
          </w:p>
          <w:p w14:paraId="232D2738">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支持按周期预约。</w:t>
            </w:r>
          </w:p>
          <w:p w14:paraId="33CC738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支持通知方式自定义。</w:t>
            </w:r>
          </w:p>
          <w:p w14:paraId="24F34496">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支持通知时间自定义。</w:t>
            </w:r>
          </w:p>
          <w:p w14:paraId="5093CA10">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支持按周期预约通知模板自定义。</w:t>
            </w:r>
          </w:p>
          <w:p w14:paraId="416128A7">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支持预约查询、预约签到、预约状态查询、改约、取消预约等操作的功能模块。</w:t>
            </w:r>
          </w:p>
          <w:p w14:paraId="240C95E0">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支持预约小票打印。</w:t>
            </w:r>
          </w:p>
          <w:p w14:paraId="0829387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支持查询患者就诊记录。</w:t>
            </w:r>
          </w:p>
          <w:p w14:paraId="1146FEC4">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支持预约列表导出、打印。</w:t>
            </w:r>
          </w:p>
        </w:tc>
      </w:tr>
      <w:tr w14:paraId="7E09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shd w:val="clear" w:color="auto" w:fill="auto"/>
          </w:tcPr>
          <w:p w14:paraId="16755FE6">
            <w:pPr>
              <w:widowControl/>
              <w:spacing w:line="240" w:lineRule="atLeast"/>
              <w:jc w:val="left"/>
              <w:rPr>
                <w:rFonts w:cs="宋体" w:asciiTheme="minorEastAsia" w:hAnsiTheme="minorEastAsia"/>
                <w:color w:val="000000"/>
                <w:kern w:val="0"/>
                <w:szCs w:val="21"/>
              </w:rPr>
            </w:pPr>
            <w:r>
              <w:t>9</w:t>
            </w:r>
          </w:p>
        </w:tc>
        <w:tc>
          <w:tcPr>
            <w:tcW w:w="749" w:type="pct"/>
            <w:shd w:val="clear" w:color="auto" w:fill="auto"/>
          </w:tcPr>
          <w:p w14:paraId="7C651B6C">
            <w:pPr>
              <w:widowControl/>
              <w:spacing w:line="240" w:lineRule="atLeast"/>
              <w:jc w:val="left"/>
              <w:rPr>
                <w:rFonts w:cs="宋体" w:asciiTheme="minorEastAsia" w:hAnsiTheme="minorEastAsia"/>
                <w:color w:val="000000"/>
                <w:kern w:val="0"/>
                <w:szCs w:val="21"/>
              </w:rPr>
            </w:pPr>
            <w:r>
              <w:rPr>
                <w:rFonts w:cs="宋体" w:asciiTheme="minorEastAsia" w:hAnsiTheme="minorEastAsia"/>
                <w:color w:val="000000"/>
                <w:kern w:val="0"/>
                <w:szCs w:val="21"/>
              </w:rPr>
              <w:t>一体化集成（集成HIS医生站)</w:t>
            </w:r>
          </w:p>
        </w:tc>
        <w:tc>
          <w:tcPr>
            <w:tcW w:w="3938" w:type="pct"/>
            <w:shd w:val="clear" w:color="auto" w:fill="auto"/>
          </w:tcPr>
          <w:p w14:paraId="4F33FBE4">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支持诊间预约、复诊预约。</w:t>
            </w:r>
          </w:p>
          <w:p w14:paraId="0420992E">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支持超长预约，支持设置超长预约模板管理，按照模板预约多次就诊时间。</w:t>
            </w:r>
          </w:p>
          <w:p w14:paraId="5F5388E8">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支持超长预约模板自定义。</w:t>
            </w:r>
          </w:p>
          <w:p w14:paraId="177A7C4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支持按周期预约。</w:t>
            </w:r>
          </w:p>
          <w:p w14:paraId="0D6E85C9">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支持通知方式自定义。</w:t>
            </w:r>
          </w:p>
          <w:p w14:paraId="026A8275">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支持通知时间自定义。</w:t>
            </w:r>
          </w:p>
          <w:p w14:paraId="297E465D">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支持按周期预约通知模板自定义。</w:t>
            </w:r>
          </w:p>
          <w:p w14:paraId="61895216">
            <w:pPr>
              <w:widowControl/>
              <w:spacing w:line="24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支持预约查询、预约状态查询、改约操作、取消预约等操作的功能模块。</w:t>
            </w:r>
          </w:p>
        </w:tc>
      </w:tr>
    </w:tbl>
    <w:p w14:paraId="6C48F4F4">
      <w:pPr>
        <w:pStyle w:val="81"/>
        <w:spacing w:line="360" w:lineRule="auto"/>
        <w:ind w:left="0" w:leftChars="0" w:right="0" w:rightChars="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2、门诊分诊及排队叫号系统</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234"/>
        <w:gridCol w:w="7159"/>
      </w:tblGrid>
      <w:tr w14:paraId="6852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shd w:val="clear" w:color="auto" w:fill="auto"/>
          </w:tcPr>
          <w:p w14:paraId="4DC55B66">
            <w:pPr>
              <w:spacing w:line="240" w:lineRule="atLeast"/>
              <w:jc w:val="center"/>
              <w:rPr>
                <w:rFonts w:asciiTheme="minorEastAsia" w:hAnsiTheme="minorEastAsia"/>
                <w:b/>
                <w:bCs/>
                <w:szCs w:val="21"/>
              </w:rPr>
            </w:pPr>
            <w:r>
              <w:rPr>
                <w:rFonts w:hint="eastAsia" w:asciiTheme="minorEastAsia" w:hAnsiTheme="minorEastAsia"/>
                <w:b/>
                <w:bCs/>
                <w:szCs w:val="21"/>
              </w:rPr>
              <w:t>序号</w:t>
            </w:r>
          </w:p>
        </w:tc>
        <w:tc>
          <w:tcPr>
            <w:tcW w:w="1090" w:type="pct"/>
            <w:shd w:val="clear" w:color="auto" w:fill="auto"/>
          </w:tcPr>
          <w:p w14:paraId="58DB9542">
            <w:pPr>
              <w:spacing w:line="240" w:lineRule="atLeast"/>
              <w:jc w:val="left"/>
              <w:rPr>
                <w:rFonts w:asciiTheme="minorEastAsia" w:hAnsiTheme="minorEastAsia"/>
                <w:b/>
                <w:bCs/>
                <w:szCs w:val="21"/>
              </w:rPr>
            </w:pPr>
            <w:r>
              <w:rPr>
                <w:rFonts w:hint="eastAsia" w:asciiTheme="minorEastAsia" w:hAnsiTheme="minorEastAsia"/>
                <w:b/>
                <w:bCs/>
                <w:szCs w:val="21"/>
              </w:rPr>
              <w:t>功能模块</w:t>
            </w:r>
          </w:p>
        </w:tc>
        <w:tc>
          <w:tcPr>
            <w:tcW w:w="3493" w:type="pct"/>
            <w:shd w:val="clear" w:color="auto" w:fill="auto"/>
          </w:tcPr>
          <w:p w14:paraId="0B914551">
            <w:pPr>
              <w:spacing w:line="240" w:lineRule="atLeast"/>
              <w:jc w:val="left"/>
              <w:rPr>
                <w:rFonts w:asciiTheme="minorEastAsia" w:hAnsiTheme="minorEastAsia"/>
                <w:b/>
                <w:bCs/>
                <w:szCs w:val="21"/>
              </w:rPr>
            </w:pPr>
            <w:r>
              <w:rPr>
                <w:rFonts w:hint="eastAsia" w:asciiTheme="minorEastAsia" w:hAnsiTheme="minorEastAsia"/>
                <w:b/>
                <w:bCs/>
                <w:szCs w:val="21"/>
              </w:rPr>
              <w:t>功能参数要求</w:t>
            </w:r>
          </w:p>
        </w:tc>
      </w:tr>
      <w:tr w14:paraId="39EA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vMerge w:val="restart"/>
            <w:shd w:val="clear" w:color="auto" w:fill="auto"/>
          </w:tcPr>
          <w:p w14:paraId="15D3F0E4">
            <w:pPr>
              <w:spacing w:line="240" w:lineRule="atLeast"/>
              <w:jc w:val="center"/>
              <w:rPr>
                <w:rFonts w:asciiTheme="minorEastAsia" w:hAnsiTheme="minorEastAsia"/>
                <w:szCs w:val="21"/>
              </w:rPr>
            </w:pPr>
            <w:r>
              <w:t>1</w:t>
            </w:r>
          </w:p>
        </w:tc>
        <w:tc>
          <w:tcPr>
            <w:tcW w:w="1090" w:type="pct"/>
            <w:vMerge w:val="restart"/>
            <w:shd w:val="clear" w:color="auto" w:fill="auto"/>
          </w:tcPr>
          <w:p w14:paraId="40ED8673">
            <w:pPr>
              <w:widowControl/>
              <w:spacing w:line="240" w:lineRule="atLeast"/>
              <w:jc w:val="left"/>
              <w:textAlignment w:val="center"/>
              <w:rPr>
                <w:rFonts w:asciiTheme="minorEastAsia" w:hAnsiTheme="minorEastAsia"/>
                <w:szCs w:val="21"/>
              </w:rPr>
            </w:pPr>
            <w:r>
              <w:rPr>
                <w:rStyle w:val="83"/>
                <w:rFonts w:hint="default" w:asciiTheme="minorEastAsia" w:hAnsiTheme="minorEastAsia" w:eastAsiaTheme="minorEastAsia"/>
                <w:color w:val="000000" w:themeColor="text1"/>
                <w:sz w:val="21"/>
                <w:szCs w:val="21"/>
                <w14:textFill>
                  <w14:solidFill>
                    <w14:schemeClr w14:val="tx1"/>
                  </w14:solidFill>
                </w14:textFill>
              </w:rPr>
              <w:t>一体化分诊台（集成排队叫号、门诊分诊、预约挂号等多个系统)</w:t>
            </w:r>
          </w:p>
        </w:tc>
        <w:tc>
          <w:tcPr>
            <w:tcW w:w="3493" w:type="pct"/>
            <w:shd w:val="clear" w:color="auto" w:fill="auto"/>
          </w:tcPr>
          <w:p w14:paraId="49411775">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支持读取就诊卡、身份证、电子就诊卡、医保卡、平台卡、医保电子凭证等操作。</w:t>
            </w:r>
          </w:p>
          <w:p w14:paraId="3072C2C6">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支持为指定患者挂号、签到、预约、改约。</w:t>
            </w:r>
          </w:p>
          <w:p w14:paraId="6567A73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支持挂号扣费</w:t>
            </w:r>
          </w:p>
          <w:p w14:paraId="1708FC2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支持复诊挂号。</w:t>
            </w:r>
          </w:p>
          <w:p w14:paraId="420195C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支持打印排队小票。</w:t>
            </w:r>
          </w:p>
          <w:p w14:paraId="1630513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支持预约密码取号。</w:t>
            </w:r>
          </w:p>
          <w:p w14:paraId="24A7C94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支持按班次、按学科分类查询医生</w:t>
            </w:r>
          </w:p>
          <w:p w14:paraId="09ED4823">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支持按指定顺序、按诊区显示医生排序</w:t>
            </w:r>
          </w:p>
          <w:p w14:paraId="4A6A4DE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支持系统根据预设规则自动分配医生挂号</w:t>
            </w:r>
          </w:p>
          <w:p w14:paraId="2F5BDA7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支持医生卡片自定义设置颜色、大小。</w:t>
            </w:r>
          </w:p>
          <w:p w14:paraId="71CEDCE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支持自动识别回诊、优诊、预约患者。</w:t>
            </w:r>
          </w:p>
          <w:p w14:paraId="022D5350">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支持按诊区按诊室查看排队顺序</w:t>
            </w:r>
          </w:p>
          <w:p w14:paraId="571E7EA7">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支持诊室暂停状态显示</w:t>
            </w:r>
          </w:p>
          <w:p w14:paraId="7821962D">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支持排队顺序调整。</w:t>
            </w:r>
          </w:p>
          <w:p w14:paraId="10CA1EFC">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支持签到队列转候诊队列、过号标记、重复呼叫功能。</w:t>
            </w:r>
          </w:p>
          <w:p w14:paraId="3D3BB5C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支持查看历史候诊排队记录。</w:t>
            </w:r>
          </w:p>
          <w:p w14:paraId="18109FD6">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支持根据个人习惯自定义设置列表显示顺序。</w:t>
            </w:r>
          </w:p>
          <w:p w14:paraId="3BB0CBC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支持分诊台根据排队情况选择顺序呼叫。</w:t>
            </w:r>
          </w:p>
          <w:p w14:paraId="6B24E3D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支持分诊台根据排队情况指定呼叫功能。</w:t>
            </w:r>
          </w:p>
          <w:p w14:paraId="1A5E8360">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支持根据指定信息检索患者排队情况及检查情况。</w:t>
            </w:r>
          </w:p>
          <w:p w14:paraId="60A4DFFF">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支持分诊查看诊区下所有队列情况。</w:t>
            </w:r>
          </w:p>
        </w:tc>
      </w:tr>
      <w:tr w14:paraId="310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vMerge w:val="restart"/>
            <w:shd w:val="clear" w:color="auto" w:fill="auto"/>
          </w:tcPr>
          <w:p w14:paraId="0A31AFAE">
            <w:pPr>
              <w:spacing w:line="240" w:lineRule="atLeast"/>
              <w:jc w:val="center"/>
              <w:rPr>
                <w:rFonts w:asciiTheme="minorEastAsia" w:hAnsiTheme="minorEastAsia"/>
                <w:szCs w:val="21"/>
              </w:rPr>
            </w:pPr>
            <w:r>
              <w:t>2</w:t>
            </w:r>
          </w:p>
        </w:tc>
        <w:tc>
          <w:tcPr>
            <w:tcW w:w="1090" w:type="pct"/>
            <w:vMerge w:val="restart"/>
            <w:shd w:val="clear" w:color="auto" w:fill="auto"/>
          </w:tcPr>
          <w:p w14:paraId="1BA8EEF1">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分诊叫号规则引擎</w:t>
            </w:r>
          </w:p>
        </w:tc>
        <w:tc>
          <w:tcPr>
            <w:tcW w:w="3493" w:type="pct"/>
            <w:shd w:val="clear" w:color="auto" w:fill="auto"/>
          </w:tcPr>
          <w:p w14:paraId="111D1FCC">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支持根据预设呼叫次数发起语音播报。</w:t>
            </w:r>
          </w:p>
          <w:p w14:paraId="649AA9D4">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支持急诊、优诊、预约优先。</w:t>
            </w:r>
          </w:p>
          <w:p w14:paraId="2043AC40">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支持根据预设优先级和规则穿插排队，如急诊、优诊、预约、回诊、现场号等穿插排队。</w:t>
            </w:r>
          </w:p>
          <w:p w14:paraId="2B285D2F">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支持过号按预设的规则显示及呼叫。</w:t>
            </w:r>
          </w:p>
          <w:p w14:paraId="6DA945C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支持根据预设的排队人数给患者发起通知提醒。</w:t>
            </w:r>
          </w:p>
          <w:p w14:paraId="67B7F39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支持排队号根据预设规则生成，如区分类型、区分诊室等。</w:t>
            </w:r>
          </w:p>
          <w:p w14:paraId="0A933D19">
            <w:pPr>
              <w:widowControl/>
              <w:spacing w:line="240" w:lineRule="atLeast"/>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szCs w:val="21"/>
              </w:rPr>
              <w:t>★</w:t>
            </w:r>
            <w:r>
              <w:rPr>
                <w:rFonts w:hint="eastAsia" w:asciiTheme="minorEastAsia" w:hAnsiTheme="minorEastAsia"/>
                <w:color w:val="000000"/>
                <w:szCs w:val="21"/>
              </w:rPr>
              <w:t>支持排队叫号根据预设脱敏、半脱敏、不脱敏，进行呼叫和显示。</w:t>
            </w:r>
          </w:p>
          <w:p w14:paraId="66D9FB5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支持根据预设规则自动打印小票。</w:t>
            </w:r>
          </w:p>
          <w:p w14:paraId="397328E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支持预设规则自动识别扣费方式。</w:t>
            </w:r>
          </w:p>
          <w:p w14:paraId="4CE089F0">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支持就诊卡余额不足提醒。</w:t>
            </w:r>
          </w:p>
        </w:tc>
      </w:tr>
      <w:tr w14:paraId="5B97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vMerge w:val="restart"/>
            <w:shd w:val="clear" w:color="auto" w:fill="auto"/>
          </w:tcPr>
          <w:p w14:paraId="344B5302">
            <w:pPr>
              <w:spacing w:line="240" w:lineRule="atLeast"/>
              <w:jc w:val="center"/>
              <w:rPr>
                <w:rFonts w:asciiTheme="minorEastAsia" w:hAnsiTheme="minorEastAsia"/>
                <w:szCs w:val="21"/>
              </w:rPr>
            </w:pPr>
            <w:r>
              <w:t>3</w:t>
            </w:r>
          </w:p>
        </w:tc>
        <w:tc>
          <w:tcPr>
            <w:tcW w:w="1090" w:type="pct"/>
            <w:vMerge w:val="restart"/>
            <w:shd w:val="clear" w:color="auto" w:fill="auto"/>
          </w:tcPr>
          <w:p w14:paraId="20D5722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诊区诊室管理</w:t>
            </w:r>
          </w:p>
        </w:tc>
        <w:tc>
          <w:tcPr>
            <w:tcW w:w="3493" w:type="pct"/>
            <w:shd w:val="clear" w:color="auto" w:fill="auto"/>
          </w:tcPr>
          <w:p w14:paraId="19FEBDF1">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支持对诊区、诊室的新增、删除、编辑、HIS同步等管理功能。</w:t>
            </w:r>
          </w:p>
          <w:p w14:paraId="2C483B3F">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支持对诊区排队规则、插队规则、打印规则、显示规则等管理功能。</w:t>
            </w:r>
          </w:p>
        </w:tc>
      </w:tr>
      <w:tr w14:paraId="0D04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shd w:val="clear" w:color="auto" w:fill="auto"/>
          </w:tcPr>
          <w:p w14:paraId="4DF8CA12">
            <w:pPr>
              <w:spacing w:line="240" w:lineRule="atLeast"/>
              <w:jc w:val="center"/>
              <w:rPr>
                <w:rFonts w:asciiTheme="minorEastAsia" w:hAnsiTheme="minorEastAsia"/>
                <w:szCs w:val="21"/>
              </w:rPr>
            </w:pPr>
            <w:r>
              <w:t>4</w:t>
            </w:r>
          </w:p>
        </w:tc>
        <w:tc>
          <w:tcPr>
            <w:tcW w:w="1090" w:type="pct"/>
            <w:shd w:val="clear" w:color="auto" w:fill="auto"/>
          </w:tcPr>
          <w:p w14:paraId="5B81161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叫号大屏管理</w:t>
            </w:r>
          </w:p>
        </w:tc>
        <w:tc>
          <w:tcPr>
            <w:tcW w:w="3493" w:type="pct"/>
            <w:shd w:val="clear" w:color="auto" w:fill="auto"/>
          </w:tcPr>
          <w:p w14:paraId="27EC3FA8">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支持对医院大屏信息的检索、增加、删除、编辑等管理功能。</w:t>
            </w:r>
          </w:p>
          <w:p w14:paraId="1098C976">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支持独立设置诊区大屏，诊室小屏。</w:t>
            </w:r>
          </w:p>
          <w:p w14:paraId="09BBC73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支持排队叫号屏按诊室任意组合显示。</w:t>
            </w:r>
          </w:p>
          <w:p w14:paraId="49113999">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支持B/S架构，浏览器方式展示大屏，实现跨诊区限制。</w:t>
            </w:r>
          </w:p>
          <w:p w14:paraId="23E7090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支持横屏、竖屏、诊室门头屏等多种方式。</w:t>
            </w:r>
          </w:p>
          <w:p w14:paraId="3041CB6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支持大屏滚动方式自定义。</w:t>
            </w:r>
          </w:p>
          <w:p w14:paraId="32593526">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支持队列人数自定义。</w:t>
            </w:r>
          </w:p>
        </w:tc>
      </w:tr>
    </w:tbl>
    <w:p w14:paraId="17146328">
      <w:pPr>
        <w:pStyle w:val="81"/>
        <w:spacing w:line="360" w:lineRule="auto"/>
        <w:ind w:left="0" w:leftChars="0" w:right="0" w:rightChars="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3、医技预约系统</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236"/>
        <w:gridCol w:w="7163"/>
      </w:tblGrid>
      <w:tr w14:paraId="5708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shd w:val="clear" w:color="auto" w:fill="auto"/>
            <w:vAlign w:val="center"/>
          </w:tcPr>
          <w:p w14:paraId="381DABB1">
            <w:pPr>
              <w:spacing w:line="240" w:lineRule="atLeast"/>
              <w:jc w:val="center"/>
              <w:rPr>
                <w:rFonts w:asciiTheme="minorEastAsia" w:hAnsiTheme="minorEastAsia"/>
                <w:b/>
                <w:bCs/>
                <w:szCs w:val="21"/>
              </w:rPr>
            </w:pPr>
            <w:r>
              <w:rPr>
                <w:rFonts w:hint="eastAsia" w:asciiTheme="minorEastAsia" w:hAnsiTheme="minorEastAsia"/>
                <w:b/>
                <w:bCs/>
                <w:szCs w:val="21"/>
              </w:rPr>
              <w:t>序号</w:t>
            </w:r>
          </w:p>
        </w:tc>
        <w:tc>
          <w:tcPr>
            <w:tcW w:w="1091" w:type="pct"/>
            <w:shd w:val="clear" w:color="auto" w:fill="auto"/>
            <w:vAlign w:val="center"/>
          </w:tcPr>
          <w:p w14:paraId="1D3D48D6">
            <w:pPr>
              <w:spacing w:line="240" w:lineRule="atLeast"/>
              <w:jc w:val="center"/>
              <w:rPr>
                <w:rFonts w:asciiTheme="minorEastAsia" w:hAnsiTheme="minorEastAsia"/>
                <w:b/>
                <w:bCs/>
                <w:szCs w:val="21"/>
              </w:rPr>
            </w:pPr>
            <w:r>
              <w:rPr>
                <w:rFonts w:hint="eastAsia" w:asciiTheme="minorEastAsia" w:hAnsiTheme="minorEastAsia"/>
                <w:b/>
                <w:bCs/>
                <w:szCs w:val="21"/>
              </w:rPr>
              <w:t>功能模块</w:t>
            </w:r>
          </w:p>
        </w:tc>
        <w:tc>
          <w:tcPr>
            <w:tcW w:w="3496" w:type="pct"/>
            <w:shd w:val="clear" w:color="auto" w:fill="auto"/>
            <w:vAlign w:val="center"/>
          </w:tcPr>
          <w:p w14:paraId="68245870">
            <w:pPr>
              <w:spacing w:line="240" w:lineRule="atLeast"/>
              <w:jc w:val="center"/>
              <w:rPr>
                <w:rFonts w:asciiTheme="minorEastAsia" w:hAnsiTheme="minorEastAsia"/>
                <w:b/>
                <w:bCs/>
                <w:szCs w:val="21"/>
              </w:rPr>
            </w:pPr>
            <w:r>
              <w:rPr>
                <w:rFonts w:hint="eastAsia" w:asciiTheme="minorEastAsia" w:hAnsiTheme="minorEastAsia"/>
                <w:b/>
                <w:bCs/>
                <w:szCs w:val="21"/>
              </w:rPr>
              <w:t>功能参数要求</w:t>
            </w:r>
          </w:p>
        </w:tc>
      </w:tr>
      <w:tr w14:paraId="1871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20236C50">
            <w:pPr>
              <w:spacing w:line="240" w:lineRule="atLeast"/>
              <w:jc w:val="left"/>
              <w:rPr>
                <w:rFonts w:asciiTheme="minorEastAsia" w:hAnsiTheme="minorEastAsia"/>
                <w:szCs w:val="21"/>
              </w:rPr>
            </w:pPr>
            <w:r>
              <w:t>1</w:t>
            </w:r>
          </w:p>
        </w:tc>
        <w:tc>
          <w:tcPr>
            <w:tcW w:w="1091" w:type="pct"/>
            <w:vMerge w:val="restart"/>
            <w:shd w:val="clear" w:color="auto" w:fill="auto"/>
          </w:tcPr>
          <w:p w14:paraId="51810641">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号源管理</w:t>
            </w:r>
          </w:p>
        </w:tc>
        <w:tc>
          <w:tcPr>
            <w:tcW w:w="3496" w:type="pct"/>
            <w:shd w:val="clear" w:color="auto" w:fill="auto"/>
          </w:tcPr>
          <w:p w14:paraId="150BD986">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支持医技资源号源池统一管理。</w:t>
            </w:r>
          </w:p>
          <w:p w14:paraId="3CA5639F">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支持医技预约。</w:t>
            </w:r>
          </w:p>
          <w:p w14:paraId="3C4EB29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支持按预约资源设置每天最大预约量，支持分时段号源设置，每天可约时间粒度（最小粒度到分钟）。</w:t>
            </w:r>
          </w:p>
          <w:p w14:paraId="66DCA51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支持按号源按规则发布，系统根据规则自动生成号源。</w:t>
            </w:r>
          </w:p>
          <w:p w14:paraId="6DA27D83">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支持按不同的时令设置号源。</w:t>
            </w:r>
          </w:p>
          <w:p w14:paraId="3F8395B3">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支持号源时段一键自动生成及自定义。</w:t>
            </w:r>
          </w:p>
          <w:p w14:paraId="75031553">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支持按天显示号源预约情况。</w:t>
            </w:r>
          </w:p>
          <w:p w14:paraId="704CA18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支持单独控制每天各时段号源，支持号源临时增加、减少。</w:t>
            </w:r>
          </w:p>
          <w:p w14:paraId="3CCB687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支持设置现场预留号。</w:t>
            </w:r>
          </w:p>
          <w:p w14:paraId="13971C18">
            <w:pPr>
              <w:widowControl/>
              <w:spacing w:line="240" w:lineRule="atLeast"/>
              <w:jc w:val="left"/>
              <w:textAlignment w:val="center"/>
              <w:rPr>
                <w:rFonts w:asciiTheme="minorEastAsia" w:hAnsiTheme="minorEastAsia"/>
                <w:szCs w:val="21"/>
              </w:rPr>
            </w:pPr>
            <w:r>
              <w:rPr>
                <w:rFonts w:hint="eastAsia" w:cs="宋体" w:asciiTheme="minorEastAsia" w:hAnsiTheme="minorEastAsia"/>
                <w:color w:val="000000"/>
                <w:szCs w:val="21"/>
              </w:rPr>
              <w:t>★</w:t>
            </w:r>
            <w:r>
              <w:rPr>
                <w:rFonts w:hint="eastAsia" w:asciiTheme="minorEastAsia" w:hAnsiTheme="minorEastAsia"/>
                <w:color w:val="000000"/>
                <w:szCs w:val="21"/>
              </w:rPr>
              <w:t>支持按预约渠道、按预约资源、按天、按周、按时间段设置共享号源和独占号源。</w:t>
            </w:r>
          </w:p>
          <w:p w14:paraId="28363FED">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支持按预约渠道设置号源可约数量。</w:t>
            </w:r>
          </w:p>
          <w:p w14:paraId="7716BFB3">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支持按预约渠道、按预约资源设置号源可约时间段。</w:t>
            </w:r>
          </w:p>
          <w:p w14:paraId="6BBA4E2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支持按节假日自动生成号源可约限制。</w:t>
            </w:r>
          </w:p>
          <w:p w14:paraId="472CD5C0">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支持按天、按周、按班次设置是否生成预约号源。</w:t>
            </w:r>
          </w:p>
          <w:p w14:paraId="48D1464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号源查询按照诊室查看该诊室下号源总量、已约号源量及各时段预约情况，并能查看具体就诊人信息。</w:t>
            </w:r>
          </w:p>
        </w:tc>
      </w:tr>
      <w:tr w14:paraId="7F9A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5D135079">
            <w:pPr>
              <w:spacing w:line="240" w:lineRule="atLeast"/>
              <w:jc w:val="left"/>
              <w:rPr>
                <w:rFonts w:asciiTheme="minorEastAsia" w:hAnsiTheme="minorEastAsia"/>
                <w:szCs w:val="21"/>
              </w:rPr>
            </w:pPr>
            <w:r>
              <w:t>2</w:t>
            </w:r>
          </w:p>
        </w:tc>
        <w:tc>
          <w:tcPr>
            <w:tcW w:w="1091" w:type="pct"/>
            <w:vMerge w:val="restart"/>
            <w:shd w:val="clear" w:color="auto" w:fill="auto"/>
          </w:tcPr>
          <w:p w14:paraId="122780C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排班管理</w:t>
            </w:r>
          </w:p>
        </w:tc>
        <w:tc>
          <w:tcPr>
            <w:tcW w:w="3496" w:type="pct"/>
            <w:shd w:val="clear" w:color="auto" w:fill="auto"/>
          </w:tcPr>
          <w:p w14:paraId="3E66F8CC">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支持设定时间范围、上班规则批量的设置医师/技师排班，也可逐个设置。</w:t>
            </w:r>
          </w:p>
          <w:p w14:paraId="70FBFACF">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支持医技科室排班查询及修改。</w:t>
            </w:r>
          </w:p>
          <w:p w14:paraId="390BC43F">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支持排班按医师、按诊室展现方式。</w:t>
            </w:r>
          </w:p>
          <w:p w14:paraId="33FEEEA1">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支持设置排班规则，系统自动生成排班。</w:t>
            </w:r>
          </w:p>
        </w:tc>
      </w:tr>
      <w:tr w14:paraId="39F1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0FCC3EBD">
            <w:pPr>
              <w:spacing w:line="240" w:lineRule="atLeast"/>
              <w:jc w:val="left"/>
              <w:rPr>
                <w:rFonts w:asciiTheme="minorEastAsia" w:hAnsiTheme="minorEastAsia"/>
                <w:szCs w:val="21"/>
              </w:rPr>
            </w:pPr>
            <w:r>
              <w:t>3</w:t>
            </w:r>
          </w:p>
        </w:tc>
        <w:tc>
          <w:tcPr>
            <w:tcW w:w="1091" w:type="pct"/>
            <w:vMerge w:val="restart"/>
            <w:shd w:val="clear" w:color="auto" w:fill="auto"/>
          </w:tcPr>
          <w:p w14:paraId="712453C0">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调班审批</w:t>
            </w:r>
          </w:p>
        </w:tc>
        <w:tc>
          <w:tcPr>
            <w:tcW w:w="3496" w:type="pct"/>
            <w:shd w:val="clear" w:color="auto" w:fill="auto"/>
          </w:tcPr>
          <w:p w14:paraId="6EED163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支持调/停班申请、处理、审批。支持根据管理科室的权限管理，支持管理科室和门诊科室分别配置不同查询、审批权限。</w:t>
            </w:r>
          </w:p>
        </w:tc>
      </w:tr>
      <w:tr w14:paraId="68C0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4EC755F4">
            <w:pPr>
              <w:spacing w:line="240" w:lineRule="atLeast"/>
              <w:jc w:val="left"/>
              <w:rPr>
                <w:rFonts w:asciiTheme="minorEastAsia" w:hAnsiTheme="minorEastAsia"/>
                <w:szCs w:val="21"/>
              </w:rPr>
            </w:pPr>
            <w:r>
              <w:t>4</w:t>
            </w:r>
          </w:p>
        </w:tc>
        <w:tc>
          <w:tcPr>
            <w:tcW w:w="1091" w:type="pct"/>
            <w:vMerge w:val="restart"/>
            <w:shd w:val="clear" w:color="auto" w:fill="auto"/>
          </w:tcPr>
          <w:p w14:paraId="327E64A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预约规则引擎</w:t>
            </w:r>
          </w:p>
        </w:tc>
        <w:tc>
          <w:tcPr>
            <w:tcW w:w="3496" w:type="pct"/>
            <w:shd w:val="clear" w:color="auto" w:fill="auto"/>
          </w:tcPr>
          <w:p w14:paraId="1BD64269">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支待根据申请单检查项目自动匹配对应设备（诊室）。</w:t>
            </w:r>
          </w:p>
          <w:p w14:paraId="7F032B2E">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支持根据多个检查项目自动推荐最优检查次序。</w:t>
            </w:r>
          </w:p>
          <w:p w14:paraId="1BF77A26">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支持检查项目与历史检查项目互斥。</w:t>
            </w:r>
          </w:p>
          <w:p w14:paraId="6C5B136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支持爽约根据预设规则自动进入爽约名单。</w:t>
            </w:r>
          </w:p>
          <w:p w14:paraId="5F5D2B86">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支持根据预设规则限制提前预约时间。</w:t>
            </w:r>
          </w:p>
          <w:p w14:paraId="5762455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支持根据预设规则限制允许预约时间。</w:t>
            </w:r>
          </w:p>
          <w:p w14:paraId="58F0F2B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支持根据改约规则限制改约时间范围。</w:t>
            </w:r>
          </w:p>
          <w:p w14:paraId="580BD9D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支持排班与号源自动匹配生成可约号源。</w:t>
            </w:r>
          </w:p>
          <w:p w14:paraId="38C8EE3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支持按照预设规则限制渠道预约数量。</w:t>
            </w:r>
          </w:p>
          <w:p w14:paraId="1D2C73E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支持按照检查分组预约。</w:t>
            </w:r>
          </w:p>
          <w:p w14:paraId="2ADB5ED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支持按照预设规则匹配组合项目占用号源。</w:t>
            </w:r>
          </w:p>
          <w:p w14:paraId="3581728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支待检查项目注意事项提醒。</w:t>
            </w:r>
          </w:p>
          <w:p w14:paraId="46B1E80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支待医技自动预约，医生开单后系统自动预约。</w:t>
            </w:r>
          </w:p>
          <w:p w14:paraId="08D4223D">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支待根据科室、检查类型、患者来源设置自动预约。</w:t>
            </w:r>
          </w:p>
          <w:p w14:paraId="484EC2A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支待根据对检查项目进行的分类限制设备上可以做的检查项目</w:t>
            </w:r>
          </w:p>
          <w:p w14:paraId="747FD34A">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支待根据日期、周期限制可约的检查项目</w:t>
            </w:r>
          </w:p>
          <w:p w14:paraId="6E335D3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支持24小时全预约和仅上班时间预约等模式</w:t>
            </w:r>
          </w:p>
          <w:p w14:paraId="6B60599D">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支持检查项目独立设置权重</w:t>
            </w:r>
          </w:p>
          <w:p w14:paraId="7FCFF186">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支持按项目自动预约</w:t>
            </w:r>
          </w:p>
          <w:p w14:paraId="719F651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支持根据项目平均检查时长自动推荐诊室</w:t>
            </w:r>
          </w:p>
          <w:p w14:paraId="692E8EC7">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支持项目预设优先级</w:t>
            </w:r>
          </w:p>
          <w:p w14:paraId="77A8323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支持按项目、按检查类型设置是否可约。</w:t>
            </w:r>
          </w:p>
          <w:p w14:paraId="4483905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支持项目互斥规则自动适配预约时间。</w:t>
            </w:r>
          </w:p>
        </w:tc>
      </w:tr>
      <w:tr w14:paraId="2D5C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6C4FCCB9">
            <w:pPr>
              <w:spacing w:line="240" w:lineRule="atLeast"/>
              <w:jc w:val="left"/>
              <w:rPr>
                <w:rFonts w:asciiTheme="minorEastAsia" w:hAnsiTheme="minorEastAsia"/>
                <w:szCs w:val="21"/>
              </w:rPr>
            </w:pPr>
            <w:r>
              <w:t>5</w:t>
            </w:r>
          </w:p>
        </w:tc>
        <w:tc>
          <w:tcPr>
            <w:tcW w:w="1091" w:type="pct"/>
            <w:vMerge w:val="restart"/>
            <w:shd w:val="clear" w:color="auto" w:fill="auto"/>
          </w:tcPr>
          <w:p w14:paraId="30E9F8E1">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项目管理</w:t>
            </w:r>
          </w:p>
        </w:tc>
        <w:tc>
          <w:tcPr>
            <w:tcW w:w="3496" w:type="pct"/>
            <w:shd w:val="clear" w:color="auto" w:fill="auto"/>
          </w:tcPr>
          <w:p w14:paraId="20FAFAB2">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支持检查检验项目的检索、新增、删除、编辑、启停用等管理功能。可维护检查时长、金额、类型、优先级、空腹等为医技中等待时长的计算、互斥规则维护、提醒规则维护、职能预约计算等提供基础数据支撑。</w:t>
            </w:r>
          </w:p>
          <w:p w14:paraId="7B8695EF">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支持检查检验项目个明细维护，提供检索、新增、删除、编辑等管理功能。</w:t>
            </w:r>
          </w:p>
          <w:p w14:paraId="1C75FBA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支持按项目设置可约时间。</w:t>
            </w:r>
          </w:p>
          <w:p w14:paraId="03E528FB">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支持按项目设置诊前、诊中、诊后提醒。</w:t>
            </w:r>
          </w:p>
          <w:p w14:paraId="173D174F">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支持对检查检验项目类型的检索、新增、删除、编辑、启停用等管理功能。</w:t>
            </w:r>
          </w:p>
          <w:p w14:paraId="27655FFD">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支持对检查项目互斥规则的管理，提供增加、删除、编辑、启停用等管理功能。互斥规则健全、完善，直接决定了医技预约平台能否合理统筹安排医技的预约。</w:t>
            </w:r>
          </w:p>
        </w:tc>
      </w:tr>
      <w:tr w14:paraId="7032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2E598C15">
            <w:pPr>
              <w:spacing w:line="240" w:lineRule="atLeast"/>
              <w:jc w:val="left"/>
              <w:rPr>
                <w:rFonts w:asciiTheme="minorEastAsia" w:hAnsiTheme="minorEastAsia"/>
                <w:szCs w:val="21"/>
              </w:rPr>
            </w:pPr>
            <w:r>
              <w:t>6</w:t>
            </w:r>
          </w:p>
        </w:tc>
        <w:tc>
          <w:tcPr>
            <w:tcW w:w="1091" w:type="pct"/>
            <w:vMerge w:val="restart"/>
            <w:shd w:val="clear" w:color="auto" w:fill="auto"/>
          </w:tcPr>
          <w:p w14:paraId="722D0CF3">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提醒设置</w:t>
            </w:r>
          </w:p>
        </w:tc>
        <w:tc>
          <w:tcPr>
            <w:tcW w:w="3496" w:type="pct"/>
            <w:shd w:val="clear" w:color="auto" w:fill="auto"/>
          </w:tcPr>
          <w:p w14:paraId="7BD58B5A">
            <w:pPr>
              <w:widowControl/>
              <w:spacing w:line="240" w:lineRule="atLeast"/>
              <w:jc w:val="left"/>
              <w:textAlignment w:val="center"/>
              <w:rPr>
                <w:rFonts w:asciiTheme="minorEastAsia" w:hAnsiTheme="minorEastAsia"/>
                <w:color w:val="000000"/>
                <w:szCs w:val="21"/>
              </w:rPr>
            </w:pPr>
            <w:r>
              <w:rPr>
                <w:rFonts w:hint="eastAsia" w:cs="宋体" w:asciiTheme="minorEastAsia" w:hAnsiTheme="minorEastAsia"/>
                <w:color w:val="000000"/>
                <w:szCs w:val="21"/>
              </w:rPr>
              <w:t>★</w:t>
            </w:r>
            <w:r>
              <w:rPr>
                <w:rFonts w:hint="eastAsia" w:asciiTheme="minorEastAsia" w:hAnsiTheme="minorEastAsia"/>
                <w:color w:val="000000"/>
                <w:szCs w:val="21"/>
              </w:rPr>
              <w:t>支持自定义消息内容和发送方式。</w:t>
            </w:r>
          </w:p>
          <w:p w14:paraId="2CF9EB6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支持根据各操作节点设置提醒</w:t>
            </w:r>
          </w:p>
          <w:p w14:paraId="4ABCE8B7">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支持对提醒对象、提醒方式、提醒内容提醒时机的管理。</w:t>
            </w:r>
          </w:p>
        </w:tc>
      </w:tr>
      <w:tr w14:paraId="51E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520EF0AA">
            <w:pPr>
              <w:spacing w:line="240" w:lineRule="atLeast"/>
              <w:jc w:val="left"/>
              <w:rPr>
                <w:rFonts w:asciiTheme="minorEastAsia" w:hAnsiTheme="minorEastAsia"/>
                <w:szCs w:val="21"/>
              </w:rPr>
            </w:pPr>
            <w:r>
              <w:t>7</w:t>
            </w:r>
          </w:p>
        </w:tc>
        <w:tc>
          <w:tcPr>
            <w:tcW w:w="1091" w:type="pct"/>
            <w:vMerge w:val="restart"/>
            <w:shd w:val="clear" w:color="auto" w:fill="auto"/>
          </w:tcPr>
          <w:p w14:paraId="140B0327">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系统设置</w:t>
            </w:r>
          </w:p>
        </w:tc>
        <w:tc>
          <w:tcPr>
            <w:tcW w:w="3496" w:type="pct"/>
            <w:shd w:val="clear" w:color="auto" w:fill="auto"/>
          </w:tcPr>
          <w:p w14:paraId="2FCF5E7C">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支持爽约规则自定义</w:t>
            </w:r>
          </w:p>
          <w:p w14:paraId="64C354B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支持预约规则自定义</w:t>
            </w:r>
          </w:p>
          <w:p w14:paraId="3CF9BBE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支持签到规则自定义</w:t>
            </w:r>
          </w:p>
          <w:p w14:paraId="5282050A">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支持扣费规则自定义</w:t>
            </w:r>
          </w:p>
          <w:p w14:paraId="40F48E32">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支持改约限制自定义</w:t>
            </w:r>
          </w:p>
          <w:p w14:paraId="4867C574">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支持相应的操作节点开关配置</w:t>
            </w:r>
          </w:p>
        </w:tc>
      </w:tr>
      <w:tr w14:paraId="1A8B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431E1201">
            <w:pPr>
              <w:spacing w:line="240" w:lineRule="atLeast"/>
              <w:jc w:val="left"/>
              <w:rPr>
                <w:rFonts w:asciiTheme="minorEastAsia" w:hAnsiTheme="minorEastAsia"/>
                <w:szCs w:val="21"/>
              </w:rPr>
            </w:pPr>
            <w:r>
              <w:t>8</w:t>
            </w:r>
          </w:p>
        </w:tc>
        <w:tc>
          <w:tcPr>
            <w:tcW w:w="1091" w:type="pct"/>
            <w:vMerge w:val="restart"/>
            <w:shd w:val="clear" w:color="auto" w:fill="auto"/>
          </w:tcPr>
          <w:p w14:paraId="0D1D68F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决策分析</w:t>
            </w:r>
          </w:p>
        </w:tc>
        <w:tc>
          <w:tcPr>
            <w:tcW w:w="3496" w:type="pct"/>
            <w:shd w:val="clear" w:color="auto" w:fill="auto"/>
          </w:tcPr>
          <w:p w14:paraId="68BBE24C">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支持根据系统所产生的数据，为院领导、管理员提供分析数据，为管理决策提供帮助。</w:t>
            </w:r>
          </w:p>
          <w:p w14:paraId="09D18B5D">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支持预约统计分析。</w:t>
            </w:r>
          </w:p>
          <w:p w14:paraId="725EF5E5">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支持按设备统计。</w:t>
            </w:r>
          </w:p>
          <w:p w14:paraId="5B501BC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支持技师工作量统计。</w:t>
            </w:r>
          </w:p>
        </w:tc>
      </w:tr>
      <w:tr w14:paraId="7E0C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shd w:val="clear" w:color="auto" w:fill="auto"/>
          </w:tcPr>
          <w:p w14:paraId="3CF1150A">
            <w:pPr>
              <w:spacing w:line="240" w:lineRule="atLeast"/>
              <w:jc w:val="left"/>
              <w:rPr>
                <w:rFonts w:asciiTheme="minorEastAsia" w:hAnsiTheme="minorEastAsia"/>
                <w:szCs w:val="21"/>
              </w:rPr>
            </w:pPr>
            <w:r>
              <w:t>9</w:t>
            </w:r>
          </w:p>
        </w:tc>
        <w:tc>
          <w:tcPr>
            <w:tcW w:w="1091" w:type="pct"/>
            <w:vMerge w:val="restart"/>
            <w:shd w:val="clear" w:color="auto" w:fill="auto"/>
          </w:tcPr>
          <w:p w14:paraId="408D3BAD">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医技预约</w:t>
            </w:r>
          </w:p>
        </w:tc>
        <w:tc>
          <w:tcPr>
            <w:tcW w:w="3496" w:type="pct"/>
            <w:shd w:val="clear" w:color="auto" w:fill="auto"/>
          </w:tcPr>
          <w:p w14:paraId="7B0D9778">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支持分时段预约</w:t>
            </w:r>
          </w:p>
          <w:p w14:paraId="47411350">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支持电话、窗口、预约中心、分诊台预约</w:t>
            </w:r>
          </w:p>
          <w:p w14:paraId="0E7B95A6">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支持查看申请单详细信息。</w:t>
            </w:r>
          </w:p>
          <w:p w14:paraId="055A5CB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支持预约查询、预约状态查询等操作的功能模块。</w:t>
            </w:r>
          </w:p>
          <w:p w14:paraId="4A5116B2">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支持根据检查申请单自动自动计算并分配最合适的检查设备。</w:t>
            </w:r>
          </w:p>
          <w:p w14:paraId="48854924">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支持改约、取消预约。</w:t>
            </w:r>
          </w:p>
          <w:p w14:paraId="38AF2749">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支持按预约规则限制判断。</w:t>
            </w:r>
          </w:p>
          <w:p w14:paraId="5490060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支持查询患者就诊记录。</w:t>
            </w:r>
          </w:p>
          <w:p w14:paraId="25C3C9D2">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支持预约列表导出、打印。</w:t>
            </w:r>
          </w:p>
        </w:tc>
      </w:tr>
      <w:tr w14:paraId="78B7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shd w:val="clear" w:color="auto" w:fill="auto"/>
          </w:tcPr>
          <w:p w14:paraId="30A56AD0">
            <w:pPr>
              <w:spacing w:line="240" w:lineRule="atLeast"/>
              <w:jc w:val="left"/>
              <w:rPr>
                <w:rFonts w:asciiTheme="minorEastAsia" w:hAnsiTheme="minorEastAsia"/>
                <w:szCs w:val="21"/>
              </w:rPr>
            </w:pPr>
            <w:r>
              <w:t>10</w:t>
            </w:r>
          </w:p>
        </w:tc>
        <w:tc>
          <w:tcPr>
            <w:tcW w:w="1091" w:type="pct"/>
            <w:shd w:val="clear" w:color="auto" w:fill="auto"/>
          </w:tcPr>
          <w:p w14:paraId="0BDFC27C">
            <w:pPr>
              <w:widowControl/>
              <w:spacing w:line="240" w:lineRule="atLeast"/>
              <w:jc w:val="left"/>
              <w:textAlignment w:val="center"/>
              <w:rPr>
                <w:rFonts w:asciiTheme="minorEastAsia" w:hAnsiTheme="minorEastAsia"/>
                <w:szCs w:val="21"/>
              </w:rPr>
            </w:pPr>
            <w:r>
              <w:rPr>
                <w:rStyle w:val="83"/>
                <w:rFonts w:hint="default" w:asciiTheme="minorEastAsia" w:hAnsiTheme="minorEastAsia" w:eastAsiaTheme="minorEastAsia"/>
                <w:sz w:val="21"/>
                <w:szCs w:val="21"/>
              </w:rPr>
              <w:t>一体化集成（集成HIS工作站)</w:t>
            </w:r>
          </w:p>
        </w:tc>
        <w:tc>
          <w:tcPr>
            <w:tcW w:w="3496" w:type="pct"/>
            <w:shd w:val="clear" w:color="auto" w:fill="auto"/>
          </w:tcPr>
          <w:p w14:paraId="4E929818">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支持为指定患者检查项目预约功能。</w:t>
            </w:r>
          </w:p>
          <w:p w14:paraId="0D3D7D59">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支持为病区患者检查项目批量预约功能。</w:t>
            </w:r>
          </w:p>
          <w:p w14:paraId="70D26E9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支持预约查询、预约状态查询、改约操作、取消预约等操作的功能模块。</w:t>
            </w:r>
          </w:p>
          <w:p w14:paraId="02FFD8DE">
            <w:pPr>
              <w:widowControl/>
              <w:spacing w:line="240" w:lineRule="atLeast"/>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szCs w:val="21"/>
              </w:rPr>
              <w:t>★</w:t>
            </w:r>
            <w:r>
              <w:rPr>
                <w:rFonts w:hint="eastAsia" w:asciiTheme="minorEastAsia" w:hAnsiTheme="minorEastAsia"/>
                <w:color w:val="000000"/>
                <w:szCs w:val="21"/>
              </w:rPr>
              <w:t>支持按医生或诊室多种查看方式查看诊室所排医生情况。</w:t>
            </w:r>
          </w:p>
          <w:p w14:paraId="2F119C2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支持号源查询按照诊室查看该诊室下号源总量、已约号源量及各时段预约情况，并能查看具体预约就诊人信息。</w:t>
            </w:r>
          </w:p>
        </w:tc>
      </w:tr>
    </w:tbl>
    <w:p w14:paraId="320E6BFC">
      <w:pPr>
        <w:pStyle w:val="81"/>
        <w:spacing w:line="360" w:lineRule="auto"/>
        <w:ind w:left="0" w:leftChars="0" w:right="0" w:rightChars="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4、医技分诊及排队叫号系统</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234"/>
        <w:gridCol w:w="7159"/>
      </w:tblGrid>
      <w:tr w14:paraId="35B2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shd w:val="clear" w:color="auto" w:fill="auto"/>
          </w:tcPr>
          <w:p w14:paraId="20AD112D">
            <w:pPr>
              <w:spacing w:line="240" w:lineRule="atLeast"/>
              <w:jc w:val="center"/>
              <w:rPr>
                <w:rFonts w:asciiTheme="minorEastAsia" w:hAnsiTheme="minorEastAsia"/>
                <w:b/>
                <w:bCs/>
                <w:szCs w:val="21"/>
              </w:rPr>
            </w:pPr>
            <w:r>
              <w:rPr>
                <w:rFonts w:hint="eastAsia" w:asciiTheme="minorEastAsia" w:hAnsiTheme="minorEastAsia"/>
                <w:b/>
                <w:bCs/>
                <w:szCs w:val="21"/>
              </w:rPr>
              <w:t>序号</w:t>
            </w:r>
          </w:p>
        </w:tc>
        <w:tc>
          <w:tcPr>
            <w:tcW w:w="1090" w:type="pct"/>
            <w:shd w:val="clear" w:color="auto" w:fill="auto"/>
          </w:tcPr>
          <w:p w14:paraId="0B8CCE1A">
            <w:pPr>
              <w:spacing w:line="240" w:lineRule="atLeast"/>
              <w:jc w:val="left"/>
              <w:rPr>
                <w:rFonts w:asciiTheme="minorEastAsia" w:hAnsiTheme="minorEastAsia"/>
                <w:b/>
                <w:bCs/>
                <w:szCs w:val="21"/>
              </w:rPr>
            </w:pPr>
            <w:r>
              <w:rPr>
                <w:rFonts w:hint="eastAsia" w:asciiTheme="minorEastAsia" w:hAnsiTheme="minorEastAsia"/>
                <w:b/>
                <w:bCs/>
                <w:szCs w:val="21"/>
              </w:rPr>
              <w:t>功能模块</w:t>
            </w:r>
          </w:p>
        </w:tc>
        <w:tc>
          <w:tcPr>
            <w:tcW w:w="3493" w:type="pct"/>
            <w:shd w:val="clear" w:color="auto" w:fill="auto"/>
          </w:tcPr>
          <w:p w14:paraId="643EDC58">
            <w:pPr>
              <w:spacing w:line="240" w:lineRule="atLeast"/>
              <w:jc w:val="left"/>
              <w:rPr>
                <w:rFonts w:asciiTheme="minorEastAsia" w:hAnsiTheme="minorEastAsia"/>
                <w:b/>
                <w:bCs/>
                <w:szCs w:val="21"/>
              </w:rPr>
            </w:pPr>
            <w:r>
              <w:rPr>
                <w:rFonts w:hint="eastAsia" w:asciiTheme="minorEastAsia" w:hAnsiTheme="minorEastAsia"/>
                <w:b/>
                <w:bCs/>
                <w:szCs w:val="21"/>
              </w:rPr>
              <w:t>功能参数要求</w:t>
            </w:r>
          </w:p>
        </w:tc>
      </w:tr>
      <w:tr w14:paraId="32BB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vMerge w:val="restart"/>
            <w:shd w:val="clear" w:color="auto" w:fill="auto"/>
          </w:tcPr>
          <w:p w14:paraId="009B1B14">
            <w:pPr>
              <w:spacing w:line="240" w:lineRule="atLeast"/>
              <w:jc w:val="center"/>
              <w:rPr>
                <w:rFonts w:asciiTheme="minorEastAsia" w:hAnsiTheme="minorEastAsia"/>
                <w:szCs w:val="21"/>
              </w:rPr>
            </w:pPr>
            <w:r>
              <w:t>1</w:t>
            </w:r>
          </w:p>
        </w:tc>
        <w:tc>
          <w:tcPr>
            <w:tcW w:w="1090" w:type="pct"/>
            <w:vMerge w:val="restart"/>
            <w:shd w:val="clear" w:color="auto" w:fill="auto"/>
          </w:tcPr>
          <w:p w14:paraId="29BA0086">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一体化分诊台（集成排队叫号、预约登记等多个系统)</w:t>
            </w:r>
          </w:p>
        </w:tc>
        <w:tc>
          <w:tcPr>
            <w:tcW w:w="3493" w:type="pct"/>
            <w:shd w:val="clear" w:color="auto" w:fill="auto"/>
          </w:tcPr>
          <w:p w14:paraId="539F9B6B">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支持读取就诊卡、身份证、电子就诊卡、医保卡、平台卡、医保电子凭证等操作。</w:t>
            </w:r>
          </w:p>
          <w:p w14:paraId="6F6A39CE">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支持预约分诊</w:t>
            </w:r>
          </w:p>
          <w:p w14:paraId="0F1624E4">
            <w:pPr>
              <w:widowControl/>
              <w:spacing w:line="240" w:lineRule="atLeast"/>
              <w:jc w:val="left"/>
              <w:textAlignment w:val="center"/>
              <w:rPr>
                <w:rFonts w:asciiTheme="minorEastAsia" w:hAnsiTheme="minorEastAsia"/>
                <w:szCs w:val="21"/>
              </w:rPr>
            </w:pPr>
            <w:r>
              <w:rPr>
                <w:rFonts w:hint="eastAsia" w:cs="宋体" w:asciiTheme="minorEastAsia" w:hAnsiTheme="minorEastAsia"/>
                <w:color w:val="000000"/>
                <w:szCs w:val="21"/>
              </w:rPr>
              <w:t>★</w:t>
            </w:r>
            <w:r>
              <w:rPr>
                <w:rFonts w:hint="eastAsia" w:asciiTheme="minorEastAsia" w:hAnsiTheme="minorEastAsia"/>
                <w:color w:val="000000"/>
                <w:szCs w:val="21"/>
              </w:rPr>
              <w:t>支持门诊、住院、体检患者预约登记。</w:t>
            </w:r>
          </w:p>
          <w:p w14:paraId="3F1182FF">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支持自动预约并分诊</w:t>
            </w:r>
          </w:p>
          <w:p w14:paraId="110EA73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支持自动推荐设备（诊室）</w:t>
            </w:r>
          </w:p>
          <w:p w14:paraId="4D5E996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支持自动过滤不能检查设备，避免出错。</w:t>
            </w:r>
          </w:p>
          <w:p w14:paraId="73DBE95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支持显示申请单检查状态。</w:t>
            </w:r>
          </w:p>
          <w:p w14:paraId="53CA0F4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支持为指定患者登记、签到、预约、改约。</w:t>
            </w:r>
          </w:p>
          <w:p w14:paraId="3B6DDBED">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支持打印排队小票。</w:t>
            </w:r>
          </w:p>
          <w:p w14:paraId="371B00A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支持申请单打印、条码打印。</w:t>
            </w:r>
          </w:p>
          <w:p w14:paraId="33456B4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支持打印扣费小票。</w:t>
            </w:r>
          </w:p>
          <w:p w14:paraId="47ABB54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支持根据诊区自动识别患者类型打印申请单、条码、扣费小票。</w:t>
            </w:r>
          </w:p>
          <w:p w14:paraId="2ECF7673">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支持根据诊区自动识别患者类型，根据设置自动扣费。</w:t>
            </w:r>
          </w:p>
          <w:p w14:paraId="5D1E9269">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支持自动识别预约患者。</w:t>
            </w:r>
          </w:p>
          <w:p w14:paraId="40343BB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支持按队列分组叫号。</w:t>
            </w:r>
          </w:p>
          <w:p w14:paraId="0E04FC5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支持按诊区按诊室查看排队顺序</w:t>
            </w:r>
          </w:p>
          <w:p w14:paraId="46F8FC3C">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支持诊室暂停状态显示</w:t>
            </w:r>
          </w:p>
          <w:p w14:paraId="7539226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支持排队顺序调整。</w:t>
            </w:r>
          </w:p>
          <w:p w14:paraId="7EEA063C">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支持过号挂起。</w:t>
            </w:r>
          </w:p>
          <w:p w14:paraId="1B88F75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支持签到队列转候诊队列、过号标记、重复呼叫功能。</w:t>
            </w:r>
          </w:p>
          <w:p w14:paraId="608A44E6">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支持查看历史候诊排队记录。</w:t>
            </w:r>
          </w:p>
          <w:p w14:paraId="4AC7A84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支持表单显示自动自定义。</w:t>
            </w:r>
          </w:p>
          <w:p w14:paraId="2CFD0E29">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支持根据个人习惯自定义设置列表显示顺序。</w:t>
            </w:r>
          </w:p>
          <w:p w14:paraId="4A004644">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支持分诊台根据排队情况选择顺序呼叫。</w:t>
            </w:r>
          </w:p>
          <w:p w14:paraId="6DF73062">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支持分诊台根据排队情况指定呼叫功能。</w:t>
            </w:r>
          </w:p>
          <w:p w14:paraId="14C4554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支持根据指定信息检索患者排队情况及检查情况。</w:t>
            </w:r>
          </w:p>
          <w:p w14:paraId="29411800">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支持分诊查看诊区下所有队列情况。</w:t>
            </w:r>
          </w:p>
        </w:tc>
      </w:tr>
      <w:tr w14:paraId="56C4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vMerge w:val="restart"/>
            <w:shd w:val="clear" w:color="auto" w:fill="auto"/>
          </w:tcPr>
          <w:p w14:paraId="3641506A">
            <w:pPr>
              <w:spacing w:line="240" w:lineRule="atLeast"/>
              <w:jc w:val="center"/>
              <w:rPr>
                <w:rFonts w:asciiTheme="minorEastAsia" w:hAnsiTheme="minorEastAsia"/>
                <w:szCs w:val="21"/>
              </w:rPr>
            </w:pPr>
            <w:r>
              <w:t>2</w:t>
            </w:r>
          </w:p>
        </w:tc>
        <w:tc>
          <w:tcPr>
            <w:tcW w:w="1090" w:type="pct"/>
            <w:vMerge w:val="restart"/>
            <w:shd w:val="clear" w:color="auto" w:fill="auto"/>
          </w:tcPr>
          <w:p w14:paraId="25EC1EC1">
            <w:pPr>
              <w:widowControl/>
              <w:spacing w:line="240" w:lineRule="atLeast"/>
              <w:jc w:val="left"/>
              <w:textAlignment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分诊叫号规则引擎</w:t>
            </w:r>
          </w:p>
        </w:tc>
        <w:tc>
          <w:tcPr>
            <w:tcW w:w="3493" w:type="pct"/>
            <w:shd w:val="clear" w:color="auto" w:fill="auto"/>
          </w:tcPr>
          <w:p w14:paraId="5931BF5B">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支持根据预设呼叫次数发起语音播报。</w:t>
            </w:r>
          </w:p>
          <w:p w14:paraId="52ACE556">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支持急诊、优诊、预约优先。</w:t>
            </w:r>
          </w:p>
          <w:p w14:paraId="14EE13D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支持根据预设优先级和规则穿插排队，如急诊、预约、现场号等穿插排队。</w:t>
            </w:r>
          </w:p>
          <w:p w14:paraId="2D1A050D">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支持过号按预设的规则显示及呼叫。</w:t>
            </w:r>
          </w:p>
          <w:p w14:paraId="30529591">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支持根据预设的排队人数给患者发起通知提醒。</w:t>
            </w:r>
          </w:p>
          <w:p w14:paraId="3D2EEBE3">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支持排队号根据预设规则生成，如区分类型、区分诊室等。</w:t>
            </w:r>
          </w:p>
          <w:p w14:paraId="655AD05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支持排队叫号根据预设脱敏、半脱敏、不脱敏，进行呼叫和显示。</w:t>
            </w:r>
          </w:p>
          <w:p w14:paraId="5A37A9AF">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支持根据预设规则自动打印小票。</w:t>
            </w:r>
          </w:p>
          <w:p w14:paraId="52B3DD60">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支持预设规则自动识别扣费方式。</w:t>
            </w:r>
          </w:p>
          <w:p w14:paraId="51A8D9A0">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支持根据预设规则自动识别患者类型。</w:t>
            </w:r>
          </w:p>
          <w:p w14:paraId="59946B50">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支持按患者类型设置优惠方式。</w:t>
            </w:r>
          </w:p>
          <w:p w14:paraId="06C0B1DC">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支持就诊卡余额不足提醒。</w:t>
            </w:r>
          </w:p>
        </w:tc>
      </w:tr>
      <w:tr w14:paraId="401A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vMerge w:val="restart"/>
            <w:shd w:val="clear" w:color="auto" w:fill="auto"/>
          </w:tcPr>
          <w:p w14:paraId="1840F172">
            <w:pPr>
              <w:spacing w:line="240" w:lineRule="atLeast"/>
              <w:jc w:val="center"/>
              <w:rPr>
                <w:rFonts w:asciiTheme="minorEastAsia" w:hAnsiTheme="minorEastAsia"/>
                <w:szCs w:val="21"/>
              </w:rPr>
            </w:pPr>
            <w:r>
              <w:t>3</w:t>
            </w:r>
          </w:p>
        </w:tc>
        <w:tc>
          <w:tcPr>
            <w:tcW w:w="1090" w:type="pct"/>
            <w:vMerge w:val="restart"/>
            <w:shd w:val="clear" w:color="auto" w:fill="auto"/>
          </w:tcPr>
          <w:p w14:paraId="37F6166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诊区诊室管理</w:t>
            </w:r>
          </w:p>
        </w:tc>
        <w:tc>
          <w:tcPr>
            <w:tcW w:w="3493" w:type="pct"/>
            <w:shd w:val="clear" w:color="auto" w:fill="auto"/>
          </w:tcPr>
          <w:p w14:paraId="5341D101">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支持对诊区、诊室的新增、删除、编辑、HIS同步等管理功能。</w:t>
            </w:r>
          </w:p>
          <w:p w14:paraId="4DFB04B4">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支持对诊区排队规则、插队规则、打印规则、显示规则等管理功能。</w:t>
            </w:r>
          </w:p>
        </w:tc>
      </w:tr>
      <w:tr w14:paraId="1BF2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pct"/>
            <w:shd w:val="clear" w:color="auto" w:fill="auto"/>
          </w:tcPr>
          <w:p w14:paraId="2D67B02F">
            <w:pPr>
              <w:spacing w:line="240" w:lineRule="atLeast"/>
              <w:jc w:val="center"/>
              <w:rPr>
                <w:rFonts w:asciiTheme="minorEastAsia" w:hAnsiTheme="minorEastAsia"/>
                <w:szCs w:val="21"/>
              </w:rPr>
            </w:pPr>
            <w:r>
              <w:t>4</w:t>
            </w:r>
          </w:p>
        </w:tc>
        <w:tc>
          <w:tcPr>
            <w:tcW w:w="1090" w:type="pct"/>
            <w:shd w:val="clear" w:color="auto" w:fill="auto"/>
          </w:tcPr>
          <w:p w14:paraId="649B643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叫号大屏管理</w:t>
            </w:r>
          </w:p>
        </w:tc>
        <w:tc>
          <w:tcPr>
            <w:tcW w:w="3493" w:type="pct"/>
            <w:shd w:val="clear" w:color="auto" w:fill="auto"/>
          </w:tcPr>
          <w:p w14:paraId="186FCC62">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支持对医院大屏信息的检索、增加、删除、编辑等管理功能。</w:t>
            </w:r>
          </w:p>
          <w:p w14:paraId="67493686">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支持独立设置诊区大屏，诊室小屏。</w:t>
            </w:r>
          </w:p>
          <w:p w14:paraId="507ED51D">
            <w:pPr>
              <w:widowControl/>
              <w:spacing w:line="240" w:lineRule="atLeast"/>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szCs w:val="21"/>
              </w:rPr>
              <w:t>★</w:t>
            </w:r>
            <w:r>
              <w:rPr>
                <w:rFonts w:hint="eastAsia" w:asciiTheme="minorEastAsia" w:hAnsiTheme="minorEastAsia"/>
                <w:color w:val="000000"/>
                <w:szCs w:val="21"/>
              </w:rPr>
              <w:t>支持排队叫号屏按诊室任意组合显示。</w:t>
            </w:r>
          </w:p>
          <w:p w14:paraId="529EA55E">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支持B/S架构，浏览器方式展示大屏，实现跨诊区限制。</w:t>
            </w:r>
          </w:p>
          <w:p w14:paraId="63CF0528">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支持横屏、竖屏、诊室门头屏等多种方式。</w:t>
            </w:r>
          </w:p>
          <w:p w14:paraId="1F84462F">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支持大屏滚动方式自定义。</w:t>
            </w:r>
          </w:p>
          <w:p w14:paraId="3A095234">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支持队列人数自定义。</w:t>
            </w:r>
          </w:p>
          <w:p w14:paraId="4D607FBA">
            <w:pPr>
              <w:widowControl/>
              <w:spacing w:line="240" w:lineRule="atLeast"/>
              <w:jc w:val="left"/>
              <w:textAlignment w:val="center"/>
              <w:rPr>
                <w:rFonts w:cs="宋体" w:asciiTheme="minorEastAsia" w:hAnsiTheme="minorEastAsia"/>
                <w:color w:val="000000"/>
                <w:kern w:val="0"/>
                <w:szCs w:val="21"/>
                <w:lang w:bidi="ar"/>
              </w:rPr>
            </w:pPr>
            <w:r>
              <w:rPr>
                <w:rFonts w:hint="eastAsia" w:asciiTheme="minorEastAsia" w:hAnsiTheme="minorEastAsia"/>
                <w:color w:val="000000"/>
                <w:szCs w:val="21"/>
              </w:rPr>
              <w:t>支持大屏显示宣教内容。</w:t>
            </w:r>
          </w:p>
        </w:tc>
      </w:tr>
    </w:tbl>
    <w:p w14:paraId="068AC0F3">
      <w:pPr>
        <w:pStyle w:val="81"/>
        <w:spacing w:line="360" w:lineRule="auto"/>
        <w:ind w:left="0" w:leftChars="0" w:right="0" w:rightChars="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5、基础信息管理</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234"/>
        <w:gridCol w:w="7154"/>
      </w:tblGrid>
      <w:tr w14:paraId="1C4A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shd w:val="clear" w:color="auto" w:fill="auto"/>
          </w:tcPr>
          <w:p w14:paraId="40E202DD">
            <w:pPr>
              <w:spacing w:line="240" w:lineRule="atLeast"/>
              <w:jc w:val="center"/>
              <w:rPr>
                <w:rFonts w:asciiTheme="minorEastAsia" w:hAnsiTheme="minorEastAsia"/>
                <w:b/>
                <w:bCs/>
                <w:szCs w:val="21"/>
              </w:rPr>
            </w:pPr>
            <w:r>
              <w:rPr>
                <w:rFonts w:hint="eastAsia" w:asciiTheme="minorEastAsia" w:hAnsiTheme="minorEastAsia"/>
                <w:b/>
                <w:bCs/>
                <w:szCs w:val="21"/>
              </w:rPr>
              <w:t>序号</w:t>
            </w:r>
          </w:p>
        </w:tc>
        <w:tc>
          <w:tcPr>
            <w:tcW w:w="1090" w:type="pct"/>
            <w:shd w:val="clear" w:color="auto" w:fill="auto"/>
          </w:tcPr>
          <w:p w14:paraId="75A2F908">
            <w:pPr>
              <w:spacing w:line="240" w:lineRule="atLeast"/>
              <w:jc w:val="left"/>
              <w:rPr>
                <w:rFonts w:asciiTheme="minorEastAsia" w:hAnsiTheme="minorEastAsia"/>
                <w:b/>
                <w:bCs/>
                <w:szCs w:val="21"/>
              </w:rPr>
            </w:pPr>
            <w:r>
              <w:rPr>
                <w:rFonts w:hint="eastAsia" w:asciiTheme="minorEastAsia" w:hAnsiTheme="minorEastAsia"/>
                <w:b/>
                <w:bCs/>
                <w:szCs w:val="21"/>
              </w:rPr>
              <w:t>功能模块</w:t>
            </w:r>
          </w:p>
        </w:tc>
        <w:tc>
          <w:tcPr>
            <w:tcW w:w="3491" w:type="pct"/>
            <w:shd w:val="clear" w:color="auto" w:fill="auto"/>
          </w:tcPr>
          <w:p w14:paraId="6C0496AC">
            <w:pPr>
              <w:spacing w:line="240" w:lineRule="atLeast"/>
              <w:jc w:val="left"/>
              <w:rPr>
                <w:rFonts w:asciiTheme="minorEastAsia" w:hAnsiTheme="minorEastAsia"/>
                <w:b/>
                <w:bCs/>
                <w:szCs w:val="21"/>
              </w:rPr>
            </w:pPr>
            <w:r>
              <w:rPr>
                <w:rFonts w:hint="eastAsia" w:asciiTheme="minorEastAsia" w:hAnsiTheme="minorEastAsia"/>
                <w:b/>
                <w:bCs/>
                <w:szCs w:val="21"/>
              </w:rPr>
              <w:t>功能参数要求</w:t>
            </w:r>
          </w:p>
        </w:tc>
      </w:tr>
      <w:tr w14:paraId="0254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shd w:val="clear" w:color="auto" w:fill="auto"/>
          </w:tcPr>
          <w:p w14:paraId="6DF91B3E">
            <w:pPr>
              <w:spacing w:line="240" w:lineRule="atLeast"/>
              <w:jc w:val="center"/>
              <w:rPr>
                <w:rFonts w:asciiTheme="minorEastAsia" w:hAnsiTheme="minorEastAsia"/>
                <w:szCs w:val="21"/>
              </w:rPr>
            </w:pPr>
            <w:r>
              <w:t>1</w:t>
            </w:r>
          </w:p>
        </w:tc>
        <w:tc>
          <w:tcPr>
            <w:tcW w:w="1090" w:type="pct"/>
            <w:shd w:val="clear" w:color="auto" w:fill="auto"/>
            <w:vAlign w:val="center"/>
          </w:tcPr>
          <w:p w14:paraId="25DCDC32">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注册服务</w:t>
            </w:r>
          </w:p>
        </w:tc>
        <w:tc>
          <w:tcPr>
            <w:tcW w:w="3491" w:type="pct"/>
            <w:shd w:val="clear" w:color="auto" w:fill="auto"/>
            <w:vAlign w:val="center"/>
          </w:tcPr>
          <w:p w14:paraId="031F496F">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支持对医院信息的新增、删除、编辑等管理功能。</w:t>
            </w:r>
          </w:p>
          <w:p w14:paraId="190B4FEB">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支持院区管理，支持设置总院、分院等院区坐标、电话、地址等。</w:t>
            </w:r>
          </w:p>
          <w:p w14:paraId="2AB9412D">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支持按院区维护楼栋、楼层分布维护。</w:t>
            </w:r>
          </w:p>
          <w:p w14:paraId="6C36F37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支持对医院上班班次的新增、删除、编辑、启停用等管理功能。</w:t>
            </w:r>
          </w:p>
          <w:p w14:paraId="4EF091E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支持科室独立设置上下班时间。</w:t>
            </w:r>
          </w:p>
          <w:p w14:paraId="68D01F10">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支持设置班次冬令时、夏令时。</w:t>
            </w:r>
          </w:p>
          <w:p w14:paraId="2A0FFBB7">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支持对科室信息的检索、新增、删除、编辑、启停用等管理功能。</w:t>
            </w:r>
          </w:p>
          <w:p w14:paraId="4DE0DB2D">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支持对职工信息的检索、新增、删除、编辑、启停用等管理功能。</w:t>
            </w:r>
          </w:p>
          <w:p w14:paraId="6C028A94">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支持按院区对诊区维护。</w:t>
            </w:r>
          </w:p>
          <w:p w14:paraId="5B6F5FE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支持按诊区维护诊室及地理位置。</w:t>
            </w:r>
          </w:p>
          <w:p w14:paraId="55D85A2E">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支持对医院物理地址的新增、删除、编辑等管理功能。</w:t>
            </w:r>
          </w:p>
        </w:tc>
      </w:tr>
      <w:tr w14:paraId="3557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shd w:val="clear" w:color="auto" w:fill="auto"/>
          </w:tcPr>
          <w:p w14:paraId="1F6563D1">
            <w:pPr>
              <w:spacing w:line="240" w:lineRule="atLeast"/>
              <w:jc w:val="center"/>
              <w:rPr>
                <w:rFonts w:asciiTheme="minorEastAsia" w:hAnsiTheme="minorEastAsia"/>
                <w:szCs w:val="21"/>
              </w:rPr>
            </w:pPr>
            <w:r>
              <w:t>2</w:t>
            </w:r>
          </w:p>
        </w:tc>
        <w:tc>
          <w:tcPr>
            <w:tcW w:w="1090" w:type="pct"/>
            <w:shd w:val="clear" w:color="auto" w:fill="auto"/>
            <w:vAlign w:val="center"/>
          </w:tcPr>
          <w:p w14:paraId="1B21A627">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字典管理</w:t>
            </w:r>
          </w:p>
        </w:tc>
        <w:tc>
          <w:tcPr>
            <w:tcW w:w="3491" w:type="pct"/>
            <w:shd w:val="clear" w:color="auto" w:fill="auto"/>
            <w:vAlign w:val="center"/>
          </w:tcPr>
          <w:p w14:paraId="1BC94758">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支持针对系统配置信息进行统一的管理，支持检索、增加、删除、编辑、启停用等功能。</w:t>
            </w:r>
          </w:p>
        </w:tc>
      </w:tr>
      <w:tr w14:paraId="110E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shd w:val="clear" w:color="auto" w:fill="auto"/>
          </w:tcPr>
          <w:p w14:paraId="516579D1">
            <w:pPr>
              <w:spacing w:line="240" w:lineRule="atLeast"/>
              <w:jc w:val="center"/>
              <w:rPr>
                <w:rFonts w:asciiTheme="minorEastAsia" w:hAnsiTheme="minorEastAsia"/>
                <w:szCs w:val="21"/>
              </w:rPr>
            </w:pPr>
            <w:r>
              <w:t>3</w:t>
            </w:r>
          </w:p>
        </w:tc>
        <w:tc>
          <w:tcPr>
            <w:tcW w:w="1090" w:type="pct"/>
            <w:shd w:val="clear" w:color="auto" w:fill="auto"/>
            <w:vAlign w:val="center"/>
          </w:tcPr>
          <w:p w14:paraId="266FF140">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角色管理</w:t>
            </w:r>
          </w:p>
        </w:tc>
        <w:tc>
          <w:tcPr>
            <w:tcW w:w="3491" w:type="pct"/>
            <w:shd w:val="clear" w:color="auto" w:fill="auto"/>
            <w:vAlign w:val="center"/>
          </w:tcPr>
          <w:p w14:paraId="5514700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支持对角色信息的检索、增加、删除、编辑、启停用等管理功能。并为角色分配相应的权限。</w:t>
            </w:r>
          </w:p>
        </w:tc>
      </w:tr>
      <w:tr w14:paraId="00E1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shd w:val="clear" w:color="auto" w:fill="auto"/>
          </w:tcPr>
          <w:p w14:paraId="19027EB0">
            <w:pPr>
              <w:spacing w:line="240" w:lineRule="atLeast"/>
              <w:jc w:val="center"/>
              <w:rPr>
                <w:rFonts w:asciiTheme="minorEastAsia" w:hAnsiTheme="minorEastAsia"/>
                <w:szCs w:val="21"/>
              </w:rPr>
            </w:pPr>
            <w:r>
              <w:t>4</w:t>
            </w:r>
          </w:p>
        </w:tc>
        <w:tc>
          <w:tcPr>
            <w:tcW w:w="1090" w:type="pct"/>
            <w:shd w:val="clear" w:color="auto" w:fill="auto"/>
            <w:vAlign w:val="center"/>
          </w:tcPr>
          <w:p w14:paraId="2C694170">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菜单管理</w:t>
            </w:r>
          </w:p>
        </w:tc>
        <w:tc>
          <w:tcPr>
            <w:tcW w:w="3491" w:type="pct"/>
            <w:shd w:val="clear" w:color="auto" w:fill="auto"/>
            <w:vAlign w:val="center"/>
          </w:tcPr>
          <w:p w14:paraId="5B3603FA">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支持对系统菜单增加、删除、编辑、顺序等管理功能。</w:t>
            </w:r>
          </w:p>
        </w:tc>
      </w:tr>
      <w:tr w14:paraId="1AA6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shd w:val="clear" w:color="auto" w:fill="auto"/>
          </w:tcPr>
          <w:p w14:paraId="0D4087B7">
            <w:pPr>
              <w:spacing w:line="240" w:lineRule="atLeast"/>
              <w:jc w:val="center"/>
              <w:rPr>
                <w:rFonts w:asciiTheme="minorEastAsia" w:hAnsiTheme="minorEastAsia"/>
                <w:szCs w:val="21"/>
              </w:rPr>
            </w:pPr>
            <w:r>
              <w:t>5</w:t>
            </w:r>
          </w:p>
        </w:tc>
        <w:tc>
          <w:tcPr>
            <w:tcW w:w="1090" w:type="pct"/>
            <w:shd w:val="clear" w:color="auto" w:fill="auto"/>
            <w:vAlign w:val="center"/>
          </w:tcPr>
          <w:p w14:paraId="6E4B232C">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模板变量维护</w:t>
            </w:r>
          </w:p>
        </w:tc>
        <w:tc>
          <w:tcPr>
            <w:tcW w:w="3491" w:type="pct"/>
            <w:shd w:val="clear" w:color="auto" w:fill="auto"/>
            <w:vAlign w:val="center"/>
          </w:tcPr>
          <w:p w14:paraId="2A1423BD">
            <w:pPr>
              <w:widowControl/>
              <w:spacing w:line="240" w:lineRule="atLeast"/>
              <w:jc w:val="left"/>
              <w:textAlignment w:val="center"/>
              <w:rPr>
                <w:rFonts w:asciiTheme="minorEastAsia" w:hAnsiTheme="minorEastAsia"/>
                <w:szCs w:val="21"/>
              </w:rPr>
            </w:pPr>
            <w:r>
              <w:rPr>
                <w:rFonts w:hint="eastAsia" w:asciiTheme="minorEastAsia" w:hAnsiTheme="minorEastAsia"/>
                <w:color w:val="000000"/>
                <w:szCs w:val="21"/>
              </w:rPr>
              <w:t>支持消息模板变量自定义。</w:t>
            </w:r>
          </w:p>
        </w:tc>
      </w:tr>
    </w:tbl>
    <w:p w14:paraId="608D22DF">
      <w:pPr>
        <w:pStyle w:val="81"/>
        <w:spacing w:line="360" w:lineRule="auto"/>
        <w:ind w:left="0" w:leftChars="0" w:right="0" w:rightChars="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6、综合信息管理</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236"/>
        <w:gridCol w:w="7154"/>
      </w:tblGrid>
      <w:tr w14:paraId="2615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tcPr>
          <w:p w14:paraId="17447D15">
            <w:pPr>
              <w:spacing w:line="240" w:lineRule="atLeast"/>
              <w:jc w:val="left"/>
              <w:rPr>
                <w:rFonts w:ascii="宋体" w:hAnsi="宋体" w:eastAsia="宋体"/>
                <w:b/>
                <w:bCs/>
                <w:szCs w:val="21"/>
              </w:rPr>
            </w:pPr>
            <w:r>
              <w:rPr>
                <w:rFonts w:hint="eastAsia" w:ascii="宋体" w:hAnsi="宋体" w:eastAsia="宋体"/>
                <w:b/>
                <w:bCs/>
                <w:szCs w:val="21"/>
              </w:rPr>
              <w:t>序号</w:t>
            </w:r>
          </w:p>
        </w:tc>
        <w:tc>
          <w:tcPr>
            <w:tcW w:w="1091" w:type="pct"/>
            <w:shd w:val="clear" w:color="auto" w:fill="auto"/>
          </w:tcPr>
          <w:p w14:paraId="301AE7CE">
            <w:pPr>
              <w:spacing w:line="240" w:lineRule="atLeast"/>
              <w:jc w:val="left"/>
              <w:rPr>
                <w:rFonts w:ascii="宋体" w:hAnsi="宋体" w:eastAsia="宋体"/>
                <w:b/>
                <w:bCs/>
                <w:szCs w:val="21"/>
              </w:rPr>
            </w:pPr>
            <w:r>
              <w:rPr>
                <w:rFonts w:hint="eastAsia" w:ascii="宋体" w:hAnsi="宋体" w:eastAsia="宋体"/>
                <w:b/>
                <w:bCs/>
                <w:szCs w:val="21"/>
              </w:rPr>
              <w:t>功能模块</w:t>
            </w:r>
          </w:p>
        </w:tc>
        <w:tc>
          <w:tcPr>
            <w:tcW w:w="3490" w:type="pct"/>
            <w:shd w:val="clear" w:color="auto" w:fill="auto"/>
          </w:tcPr>
          <w:p w14:paraId="7060D8DA">
            <w:pPr>
              <w:spacing w:line="240" w:lineRule="atLeast"/>
              <w:jc w:val="left"/>
              <w:rPr>
                <w:rFonts w:ascii="宋体" w:hAnsi="宋体" w:eastAsia="宋体"/>
                <w:b/>
                <w:bCs/>
                <w:szCs w:val="21"/>
              </w:rPr>
            </w:pPr>
            <w:r>
              <w:rPr>
                <w:rFonts w:hint="eastAsia" w:ascii="宋体" w:hAnsi="宋体" w:eastAsia="宋体"/>
                <w:b/>
                <w:bCs/>
                <w:szCs w:val="21"/>
              </w:rPr>
              <w:t>技术参数要求</w:t>
            </w:r>
          </w:p>
        </w:tc>
      </w:tr>
      <w:tr w14:paraId="7B4E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tcPr>
          <w:p w14:paraId="09D1F3BD">
            <w:pPr>
              <w:spacing w:line="240" w:lineRule="atLeast"/>
              <w:jc w:val="center"/>
              <w:rPr>
                <w:rFonts w:ascii="宋体" w:hAnsi="宋体"/>
                <w:szCs w:val="21"/>
              </w:rPr>
            </w:pPr>
            <w:r>
              <w:t>1</w:t>
            </w:r>
          </w:p>
        </w:tc>
        <w:tc>
          <w:tcPr>
            <w:tcW w:w="1091" w:type="pct"/>
            <w:shd w:val="clear" w:color="auto" w:fill="auto"/>
          </w:tcPr>
          <w:p w14:paraId="61547FA9">
            <w:pPr>
              <w:widowControl/>
              <w:spacing w:line="240" w:lineRule="atLeast"/>
              <w:textAlignment w:val="center"/>
              <w:rPr>
                <w:rFonts w:ascii="宋体" w:hAnsi="宋体" w:eastAsia="宋体"/>
                <w:szCs w:val="21"/>
              </w:rPr>
            </w:pPr>
            <w:r>
              <w:rPr>
                <w:rFonts w:hint="eastAsia"/>
                <w:color w:val="000000" w:themeColor="text1"/>
                <w:szCs w:val="21"/>
                <w14:textFill>
                  <w14:solidFill>
                    <w14:schemeClr w14:val="tx1"/>
                  </w14:solidFill>
                </w14:textFill>
              </w:rPr>
              <w:t>信用管理（黑名单）</w:t>
            </w:r>
          </w:p>
        </w:tc>
        <w:tc>
          <w:tcPr>
            <w:tcW w:w="3490" w:type="pct"/>
            <w:shd w:val="clear" w:color="auto" w:fill="auto"/>
          </w:tcPr>
          <w:p w14:paraId="5D220D0C">
            <w:pPr>
              <w:widowControl/>
              <w:spacing w:line="240" w:lineRule="atLeast"/>
              <w:textAlignment w:val="center"/>
              <w:rPr>
                <w:rFonts w:ascii="宋体" w:hAnsi="宋体"/>
                <w:szCs w:val="21"/>
              </w:rPr>
            </w:pPr>
            <w:r>
              <w:rPr>
                <w:rFonts w:hint="eastAsia" w:ascii="宋体" w:hAnsi="宋体" w:eastAsia="宋体" w:cs="宋体"/>
                <w:szCs w:val="21"/>
              </w:rPr>
              <w:t>★</w:t>
            </w:r>
            <w:r>
              <w:rPr>
                <w:rFonts w:hint="eastAsia"/>
                <w:color w:val="000000"/>
                <w:szCs w:val="21"/>
              </w:rPr>
              <w:t>支持患者信用管理，患者爽约记录查询，各子系统根据爽约次数设置预约限制。</w:t>
            </w:r>
          </w:p>
        </w:tc>
      </w:tr>
      <w:tr w14:paraId="2EAC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tcPr>
          <w:p w14:paraId="7E0B15BD">
            <w:pPr>
              <w:spacing w:line="240" w:lineRule="atLeast"/>
              <w:jc w:val="center"/>
              <w:rPr>
                <w:rFonts w:ascii="宋体" w:hAnsi="宋体"/>
                <w:szCs w:val="21"/>
              </w:rPr>
            </w:pPr>
            <w:r>
              <w:t>2</w:t>
            </w:r>
          </w:p>
        </w:tc>
        <w:tc>
          <w:tcPr>
            <w:tcW w:w="1091" w:type="pct"/>
            <w:shd w:val="clear" w:color="auto" w:fill="auto"/>
          </w:tcPr>
          <w:p w14:paraId="621751AF">
            <w:pPr>
              <w:widowControl/>
              <w:spacing w:line="240" w:lineRule="atLeast"/>
              <w:textAlignment w:val="center"/>
              <w:rPr>
                <w:rFonts w:ascii="宋体" w:hAnsi="宋体" w:eastAsia="宋体"/>
                <w:szCs w:val="21"/>
              </w:rPr>
            </w:pPr>
            <w:r>
              <w:rPr>
                <w:rFonts w:hint="eastAsia"/>
                <w:color w:val="000000"/>
                <w:szCs w:val="21"/>
              </w:rPr>
              <w:t>医院运营情况监控</w:t>
            </w:r>
          </w:p>
        </w:tc>
        <w:tc>
          <w:tcPr>
            <w:tcW w:w="3490" w:type="pct"/>
            <w:shd w:val="clear" w:color="auto" w:fill="auto"/>
          </w:tcPr>
          <w:p w14:paraId="250E1151">
            <w:pPr>
              <w:widowControl/>
              <w:spacing w:line="240" w:lineRule="atLeast"/>
              <w:textAlignment w:val="center"/>
              <w:rPr>
                <w:rFonts w:ascii="宋体" w:hAnsi="宋体" w:eastAsia="宋体"/>
                <w:szCs w:val="21"/>
              </w:rPr>
            </w:pPr>
            <w:r>
              <w:rPr>
                <w:rFonts w:hint="eastAsia" w:cs="宋体" w:asciiTheme="minorEastAsia" w:hAnsiTheme="minorEastAsia"/>
                <w:color w:val="000000"/>
                <w:szCs w:val="21"/>
              </w:rPr>
              <w:t>★</w:t>
            </w:r>
            <w:r>
              <w:rPr>
                <w:rFonts w:hint="eastAsia"/>
                <w:color w:val="000000"/>
                <w:szCs w:val="21"/>
              </w:rPr>
              <w:t>支持总就诊量、预约量、放号量、就诊率、患者年龄分布、患者性别分布、平均等待时长等</w:t>
            </w:r>
          </w:p>
        </w:tc>
      </w:tr>
      <w:tr w14:paraId="7CFF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tcPr>
          <w:p w14:paraId="41B26204">
            <w:pPr>
              <w:spacing w:line="240" w:lineRule="atLeast"/>
              <w:jc w:val="center"/>
              <w:rPr>
                <w:rFonts w:ascii="宋体" w:hAnsi="宋体"/>
                <w:szCs w:val="21"/>
              </w:rPr>
            </w:pPr>
            <w:r>
              <w:t>3</w:t>
            </w:r>
          </w:p>
        </w:tc>
        <w:tc>
          <w:tcPr>
            <w:tcW w:w="1091" w:type="pct"/>
            <w:vMerge w:val="restart"/>
            <w:shd w:val="clear" w:color="auto" w:fill="auto"/>
          </w:tcPr>
          <w:p w14:paraId="68034011">
            <w:pPr>
              <w:widowControl/>
              <w:spacing w:line="240" w:lineRule="atLeast"/>
              <w:textAlignment w:val="center"/>
              <w:rPr>
                <w:rFonts w:ascii="宋体" w:hAnsi="宋体" w:eastAsia="宋体"/>
                <w:szCs w:val="21"/>
              </w:rPr>
            </w:pPr>
            <w:r>
              <w:rPr>
                <w:rFonts w:hint="eastAsia"/>
                <w:color w:val="000000"/>
                <w:szCs w:val="21"/>
              </w:rPr>
              <w:t>数据统计</w:t>
            </w:r>
          </w:p>
        </w:tc>
        <w:tc>
          <w:tcPr>
            <w:tcW w:w="3490" w:type="pct"/>
            <w:shd w:val="clear" w:color="auto" w:fill="auto"/>
          </w:tcPr>
          <w:p w14:paraId="73143872">
            <w:pPr>
              <w:widowControl/>
              <w:spacing w:line="240" w:lineRule="atLeast"/>
              <w:textAlignment w:val="center"/>
              <w:rPr>
                <w:rFonts w:ascii="宋体" w:hAnsi="宋体" w:eastAsia="宋体"/>
                <w:szCs w:val="21"/>
              </w:rPr>
            </w:pPr>
            <w:r>
              <w:rPr>
                <w:rFonts w:hint="eastAsia"/>
                <w:color w:val="000000"/>
                <w:szCs w:val="21"/>
              </w:rPr>
              <w:t>支持门诊平均等待时长统计</w:t>
            </w:r>
          </w:p>
        </w:tc>
      </w:tr>
      <w:tr w14:paraId="6F00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tcPr>
          <w:p w14:paraId="156A8A44">
            <w:pPr>
              <w:spacing w:line="240" w:lineRule="atLeast"/>
              <w:jc w:val="center"/>
              <w:rPr>
                <w:rFonts w:ascii="宋体" w:hAnsi="宋体"/>
                <w:szCs w:val="21"/>
              </w:rPr>
            </w:pPr>
            <w:r>
              <w:t>4</w:t>
            </w:r>
          </w:p>
        </w:tc>
        <w:tc>
          <w:tcPr>
            <w:tcW w:w="1091" w:type="pct"/>
            <w:vMerge w:val="continue"/>
            <w:shd w:val="clear" w:color="auto" w:fill="auto"/>
          </w:tcPr>
          <w:p w14:paraId="5B41FA1C">
            <w:pPr>
              <w:spacing w:line="240" w:lineRule="atLeast"/>
              <w:rPr>
                <w:rFonts w:ascii="宋体" w:hAnsi="宋体" w:eastAsia="宋体"/>
                <w:szCs w:val="21"/>
              </w:rPr>
            </w:pPr>
          </w:p>
        </w:tc>
        <w:tc>
          <w:tcPr>
            <w:tcW w:w="3490" w:type="pct"/>
            <w:shd w:val="clear" w:color="auto" w:fill="auto"/>
          </w:tcPr>
          <w:p w14:paraId="51987A92">
            <w:pPr>
              <w:widowControl/>
              <w:spacing w:line="240" w:lineRule="atLeast"/>
              <w:textAlignment w:val="center"/>
              <w:rPr>
                <w:rFonts w:ascii="宋体" w:hAnsi="宋体" w:eastAsia="宋体"/>
                <w:szCs w:val="21"/>
              </w:rPr>
            </w:pPr>
            <w:r>
              <w:rPr>
                <w:rFonts w:hint="eastAsia"/>
                <w:color w:val="000000"/>
                <w:szCs w:val="21"/>
              </w:rPr>
              <w:t>支持医技平均等待时长统计</w:t>
            </w:r>
          </w:p>
        </w:tc>
      </w:tr>
      <w:tr w14:paraId="4282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tcPr>
          <w:p w14:paraId="54E60F81">
            <w:pPr>
              <w:spacing w:line="240" w:lineRule="atLeast"/>
              <w:jc w:val="center"/>
              <w:rPr>
                <w:rFonts w:ascii="宋体" w:hAnsi="宋体"/>
                <w:szCs w:val="21"/>
              </w:rPr>
            </w:pPr>
            <w:r>
              <w:t>5</w:t>
            </w:r>
          </w:p>
        </w:tc>
        <w:tc>
          <w:tcPr>
            <w:tcW w:w="1091" w:type="pct"/>
            <w:shd w:val="clear" w:color="auto" w:fill="auto"/>
          </w:tcPr>
          <w:p w14:paraId="5D9A788E">
            <w:pPr>
              <w:widowControl/>
              <w:spacing w:line="240" w:lineRule="atLeast"/>
              <w:textAlignment w:val="center"/>
              <w:rPr>
                <w:rFonts w:ascii="宋体" w:hAnsi="宋体" w:eastAsia="宋体"/>
                <w:szCs w:val="21"/>
              </w:rPr>
            </w:pPr>
            <w:r>
              <w:rPr>
                <w:rFonts w:hint="eastAsia"/>
                <w:color w:val="000000"/>
                <w:szCs w:val="21"/>
              </w:rPr>
              <w:t>信息管理</w:t>
            </w:r>
          </w:p>
        </w:tc>
        <w:tc>
          <w:tcPr>
            <w:tcW w:w="3490" w:type="pct"/>
            <w:shd w:val="clear" w:color="auto" w:fill="auto"/>
          </w:tcPr>
          <w:p w14:paraId="26975151">
            <w:pPr>
              <w:widowControl/>
              <w:spacing w:line="240" w:lineRule="atLeast"/>
              <w:textAlignment w:val="center"/>
              <w:rPr>
                <w:rFonts w:ascii="宋体" w:hAnsi="宋体" w:eastAsia="宋体"/>
                <w:szCs w:val="21"/>
              </w:rPr>
            </w:pPr>
            <w:r>
              <w:rPr>
                <w:rFonts w:hint="eastAsia" w:cs="宋体" w:asciiTheme="minorEastAsia" w:hAnsiTheme="minorEastAsia"/>
                <w:color w:val="000000"/>
                <w:szCs w:val="21"/>
              </w:rPr>
              <w:t>★</w:t>
            </w:r>
            <w:r>
              <w:rPr>
                <w:rFonts w:hint="eastAsia"/>
                <w:color w:val="000000"/>
                <w:szCs w:val="21"/>
              </w:rPr>
              <w:t>支持文章发布功能，支持检索、增加、删除、编辑等管理功能。</w:t>
            </w:r>
          </w:p>
        </w:tc>
      </w:tr>
      <w:tr w14:paraId="54DB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tcPr>
          <w:p w14:paraId="361358A6">
            <w:pPr>
              <w:spacing w:line="240" w:lineRule="atLeast"/>
              <w:jc w:val="center"/>
              <w:rPr>
                <w:rFonts w:ascii="宋体" w:hAnsi="宋体"/>
                <w:szCs w:val="21"/>
              </w:rPr>
            </w:pPr>
            <w:r>
              <w:t>6</w:t>
            </w:r>
          </w:p>
        </w:tc>
        <w:tc>
          <w:tcPr>
            <w:tcW w:w="1091" w:type="pct"/>
            <w:shd w:val="clear" w:color="auto" w:fill="auto"/>
          </w:tcPr>
          <w:p w14:paraId="68EE76BA">
            <w:pPr>
              <w:widowControl/>
              <w:spacing w:line="240" w:lineRule="atLeast"/>
              <w:textAlignment w:val="center"/>
              <w:rPr>
                <w:rFonts w:ascii="宋体" w:hAnsi="宋体" w:eastAsia="宋体"/>
                <w:szCs w:val="21"/>
              </w:rPr>
            </w:pPr>
            <w:r>
              <w:rPr>
                <w:rFonts w:hint="eastAsia"/>
                <w:color w:val="000000"/>
                <w:szCs w:val="21"/>
              </w:rPr>
              <w:t>患者就诊记录</w:t>
            </w:r>
          </w:p>
        </w:tc>
        <w:tc>
          <w:tcPr>
            <w:tcW w:w="3490" w:type="pct"/>
            <w:shd w:val="clear" w:color="auto" w:fill="auto"/>
          </w:tcPr>
          <w:p w14:paraId="68F4F137">
            <w:pPr>
              <w:widowControl/>
              <w:spacing w:line="240" w:lineRule="atLeast"/>
              <w:textAlignment w:val="center"/>
              <w:rPr>
                <w:rFonts w:ascii="宋体" w:hAnsi="宋体" w:eastAsia="宋体"/>
                <w:szCs w:val="21"/>
              </w:rPr>
            </w:pPr>
            <w:r>
              <w:rPr>
                <w:rFonts w:hint="eastAsia" w:cs="宋体" w:asciiTheme="minorEastAsia" w:hAnsiTheme="minorEastAsia"/>
                <w:color w:val="000000"/>
                <w:szCs w:val="21"/>
              </w:rPr>
              <w:t>★</w:t>
            </w:r>
            <w:r>
              <w:rPr>
                <w:rFonts w:hint="eastAsia"/>
                <w:color w:val="000000"/>
                <w:szCs w:val="21"/>
              </w:rPr>
              <w:t>支持以患者维度展示预约、签到、支付、排队、叫号、就诊、检查、回诊等各节点的时间，有助于分析各就诊节点花费时间。</w:t>
            </w:r>
          </w:p>
        </w:tc>
      </w:tr>
    </w:tbl>
    <w:p w14:paraId="7C0BA62C">
      <w:pPr>
        <w:pStyle w:val="84"/>
        <w:ind w:left="0" w:firstLine="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2.2.6排队叫号系统（大屏用）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237"/>
        <w:gridCol w:w="7159"/>
      </w:tblGrid>
      <w:tr w14:paraId="3B9D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3836208A">
            <w:pPr>
              <w:spacing w:line="240" w:lineRule="atLeast"/>
              <w:jc w:val="center"/>
              <w:rPr>
                <w:rFonts w:cs="宋体" w:asciiTheme="minorEastAsia" w:hAnsiTheme="minorEastAsia"/>
                <w:b/>
                <w:bCs/>
                <w:szCs w:val="21"/>
              </w:rPr>
            </w:pPr>
            <w:r>
              <w:rPr>
                <w:rFonts w:hint="eastAsia" w:cs="宋体" w:asciiTheme="minorEastAsia" w:hAnsiTheme="minorEastAsia"/>
                <w:b/>
                <w:bCs/>
                <w:szCs w:val="21"/>
              </w:rPr>
              <w:t>序号</w:t>
            </w:r>
          </w:p>
        </w:tc>
        <w:tc>
          <w:tcPr>
            <w:tcW w:w="1091" w:type="pct"/>
            <w:shd w:val="clear" w:color="auto" w:fill="auto"/>
            <w:vAlign w:val="center"/>
          </w:tcPr>
          <w:p w14:paraId="01DB20F6">
            <w:pPr>
              <w:spacing w:line="240" w:lineRule="atLeast"/>
              <w:jc w:val="center"/>
              <w:rPr>
                <w:rFonts w:cs="宋体" w:asciiTheme="minorEastAsia" w:hAnsiTheme="minorEastAsia"/>
                <w:b/>
                <w:bCs/>
                <w:szCs w:val="21"/>
              </w:rPr>
            </w:pPr>
            <w:r>
              <w:rPr>
                <w:rFonts w:hint="eastAsia" w:cs="宋体" w:asciiTheme="minorEastAsia" w:hAnsiTheme="minorEastAsia"/>
                <w:b/>
                <w:bCs/>
                <w:szCs w:val="21"/>
              </w:rPr>
              <w:t>功能模块</w:t>
            </w:r>
          </w:p>
        </w:tc>
        <w:tc>
          <w:tcPr>
            <w:tcW w:w="3492" w:type="pct"/>
            <w:shd w:val="clear" w:color="auto" w:fill="auto"/>
            <w:vAlign w:val="center"/>
          </w:tcPr>
          <w:p w14:paraId="28683076">
            <w:pPr>
              <w:spacing w:line="240" w:lineRule="atLeast"/>
              <w:jc w:val="center"/>
              <w:rPr>
                <w:rFonts w:cs="宋体" w:asciiTheme="minorEastAsia" w:hAnsiTheme="minorEastAsia"/>
                <w:b/>
                <w:bCs/>
                <w:szCs w:val="21"/>
              </w:rPr>
            </w:pPr>
            <w:r>
              <w:rPr>
                <w:rFonts w:hint="eastAsia" w:cs="宋体" w:asciiTheme="minorEastAsia" w:hAnsiTheme="minorEastAsia"/>
                <w:b/>
                <w:bCs/>
                <w:szCs w:val="21"/>
              </w:rPr>
              <w:t>技术参数要求</w:t>
            </w:r>
          </w:p>
        </w:tc>
      </w:tr>
      <w:tr w14:paraId="22D1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150DD9C5">
            <w:pPr>
              <w:pStyle w:val="52"/>
              <w:spacing w:line="240" w:lineRule="atLeast"/>
              <w:ind w:firstLine="0" w:firstLineChars="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w:t>
            </w:r>
          </w:p>
        </w:tc>
        <w:tc>
          <w:tcPr>
            <w:tcW w:w="1091" w:type="pct"/>
            <w:shd w:val="clear" w:color="auto" w:fill="auto"/>
          </w:tcPr>
          <w:p w14:paraId="372E6F74">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终端软件及专利许可</w:t>
            </w:r>
          </w:p>
        </w:tc>
        <w:tc>
          <w:tcPr>
            <w:tcW w:w="3492" w:type="pct"/>
            <w:shd w:val="clear" w:color="auto" w:fill="auto"/>
          </w:tcPr>
          <w:p w14:paraId="23F403C3">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内含多媒体播放器软件V3.0，含正版使用License，2套</w:t>
            </w:r>
          </w:p>
        </w:tc>
      </w:tr>
      <w:tr w14:paraId="74B7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265A5C5B">
            <w:pPr>
              <w:pStyle w:val="52"/>
              <w:spacing w:line="240" w:lineRule="atLeast"/>
              <w:ind w:firstLine="0" w:firstLineChars="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w:t>
            </w:r>
          </w:p>
        </w:tc>
        <w:tc>
          <w:tcPr>
            <w:tcW w:w="1091" w:type="pct"/>
            <w:shd w:val="clear" w:color="auto" w:fill="auto"/>
          </w:tcPr>
          <w:p w14:paraId="6429DDBA">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信息显示客户端软件</w:t>
            </w:r>
          </w:p>
        </w:tc>
        <w:tc>
          <w:tcPr>
            <w:tcW w:w="3492" w:type="pct"/>
            <w:shd w:val="clear" w:color="auto" w:fill="auto"/>
          </w:tcPr>
          <w:p w14:paraId="1311254F">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内含信息显示模式，为用户提供交互，连接数据库，实现资源共享。1套</w:t>
            </w:r>
          </w:p>
        </w:tc>
      </w:tr>
      <w:tr w14:paraId="4D90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75B7FFD0">
            <w:pPr>
              <w:pStyle w:val="52"/>
              <w:spacing w:line="240" w:lineRule="atLeast"/>
              <w:ind w:firstLine="0" w:firstLineChars="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w:t>
            </w:r>
          </w:p>
        </w:tc>
        <w:tc>
          <w:tcPr>
            <w:tcW w:w="1091" w:type="pct"/>
            <w:shd w:val="clear" w:color="auto" w:fill="auto"/>
          </w:tcPr>
          <w:p w14:paraId="4CE46686">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一院多区系统维护改造扩展</w:t>
            </w:r>
          </w:p>
        </w:tc>
        <w:tc>
          <w:tcPr>
            <w:tcW w:w="3492" w:type="pct"/>
            <w:shd w:val="clear" w:color="auto" w:fill="auto"/>
          </w:tcPr>
          <w:p w14:paraId="07F6B275">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1、医院HIS、LIS、PACS等系统数据对接逻辑处理</w:t>
            </w:r>
          </w:p>
          <w:p w14:paraId="24AE5B7E">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2、门诊分诊管理软件、医技排队软件、药房排队软件业务逻辑处理，根据不同策略生成队列</w:t>
            </w:r>
          </w:p>
          <w:p w14:paraId="029B5FB4">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3、与语音合成系统业务逻辑处理，将实际语音合成请求发送至目的语音终端，完成语音播报</w:t>
            </w:r>
          </w:p>
          <w:p w14:paraId="4FF8B8A1">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4、门诊医生排班系统业务逻辑对接处理，生成医生排班信息</w:t>
            </w:r>
          </w:p>
          <w:p w14:paraId="027B7861">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5、信息发布模块业务逻辑处理，将各类需要展示的信息处理后发送到信息发布模块，完成信息展示</w:t>
            </w:r>
          </w:p>
          <w:p w14:paraId="07B7100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6、自助报到机、自助取号机业务逻辑对接处理</w:t>
            </w:r>
          </w:p>
          <w:p w14:paraId="620589ED">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7、服务评价模块硬件对接、信息交互、业务处理</w:t>
            </w:r>
          </w:p>
          <w:p w14:paraId="34E29B95">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8、分诊台数据连接管理，分诊台用户管理</w:t>
            </w:r>
          </w:p>
          <w:p w14:paraId="072B8A66">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9、分诊台医生添加、修改、导入、配置功能</w:t>
            </w:r>
          </w:p>
          <w:p w14:paraId="345EA3EA">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10、分诊台队列添加、修改、配置、关联医生功能</w:t>
            </w:r>
          </w:p>
          <w:p w14:paraId="355406BF">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11、分诊台虚拟叫号器添加、修改、配置、关联医生功能</w:t>
            </w:r>
          </w:p>
          <w:p w14:paraId="5C1CF056">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12、分诊台用户管理、密码管理、权限控制功能</w:t>
            </w:r>
          </w:p>
          <w:p w14:paraId="08673209">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13、叫号器用户管理、密码管理、权限控制功能</w:t>
            </w:r>
          </w:p>
          <w:p w14:paraId="1898E19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14、支持隐私保护，隐藏患者姓名中一个字</w:t>
            </w:r>
          </w:p>
          <w:p w14:paraId="3358C148">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15、支持服务评价数据查看、分析</w:t>
            </w:r>
          </w:p>
          <w:p w14:paraId="75F45026">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16、系统可从医院排班系统中同步排班数据,由终端显示排班信息</w:t>
            </w:r>
          </w:p>
          <w:p w14:paraId="190DF9E5">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17、系统可进行排班管理,生成排班数据后,由终端显示排班信息</w:t>
            </w:r>
          </w:p>
          <w:p w14:paraId="29DF66C4">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18、系统管理员可通过系统管理工作站远程登录中心多媒体信息发布服务器，对系统的整体组织结构进行设计，包括系统管理员的添加、权限划分，发布点的分组设计，公共播放模版的设计，公共播放内容的统一设定及播放任务排程设计，发布电子排班内容模版。</w:t>
            </w:r>
          </w:p>
          <w:p w14:paraId="5630E388">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19、管理员通过系统管理工作站登录系统管理后台，对系统的数据进行配置，周排班医生的管理，日排班医生的管理，分诊台的管理工作。</w:t>
            </w:r>
          </w:p>
          <w:p w14:paraId="40CF003B">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20、护士管理人员通过电子排班分布式管理平台，选择管理的分诊台后登录到分布式管理平台，就可以对周排班、日排班内的医生信息进行临时调整，方便医生排班智能显示内容的及时更新。</w:t>
            </w:r>
          </w:p>
          <w:p w14:paraId="1717D012">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21、分诊台护士可通过选择分诊台对其下科室专家、医生信息进行管理、编辑等功能。</w:t>
            </w:r>
          </w:p>
          <w:p w14:paraId="15893963">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22、支持临时请假调班</w:t>
            </w:r>
          </w:p>
          <w:p w14:paraId="20BCFB91">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23、软件同步上线互联，实现总院区统一管理运行、医疗协作、数据共享、统计分析、管理决策。</w:t>
            </w:r>
          </w:p>
        </w:tc>
      </w:tr>
      <w:tr w14:paraId="7517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2282126D">
            <w:pPr>
              <w:pStyle w:val="52"/>
              <w:spacing w:line="240" w:lineRule="atLeast"/>
              <w:ind w:firstLine="0" w:firstLineChars="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w:t>
            </w:r>
          </w:p>
        </w:tc>
        <w:tc>
          <w:tcPr>
            <w:tcW w:w="1091" w:type="pct"/>
            <w:shd w:val="clear" w:color="auto" w:fill="auto"/>
          </w:tcPr>
          <w:p w14:paraId="0A2BAC70">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门诊分诊台管理软件</w:t>
            </w:r>
          </w:p>
        </w:tc>
        <w:tc>
          <w:tcPr>
            <w:tcW w:w="3492" w:type="pct"/>
            <w:shd w:val="clear" w:color="auto" w:fill="auto"/>
          </w:tcPr>
          <w:p w14:paraId="06B7C3A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安装在护士站电脑，用于管理分诊队列，6套</w:t>
            </w:r>
          </w:p>
          <w:p w14:paraId="2486A71C">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1、支持自动、手动分诊</w:t>
            </w:r>
          </w:p>
          <w:p w14:paraId="3CD99956">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2、查看当前诊区每个队列叫号情况</w:t>
            </w:r>
          </w:p>
          <w:p w14:paraId="1E7F7812">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3、支持按照队列、医生、诊位方式显示队列信息</w:t>
            </w:r>
          </w:p>
          <w:p w14:paraId="01051E15">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4、支持通过编号、患者姓名、挂号序号模糊查询检索患者信息</w:t>
            </w:r>
          </w:p>
          <w:p w14:paraId="1A1C58D0">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5、支持调整患者所在诊室、医生功能</w:t>
            </w:r>
          </w:p>
          <w:p w14:paraId="1778E83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6、支持手动调整患者队列位置功能</w:t>
            </w:r>
          </w:p>
          <w:p w14:paraId="763DA89B">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7、支持已完成患者重新进入队列功能</w:t>
            </w:r>
          </w:p>
          <w:p w14:paraId="638A1EB6">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8、支持过号患者惩罚机制，重新进入队列功能</w:t>
            </w:r>
          </w:p>
          <w:p w14:paraId="2766484D">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9、支持预约策略、过号策略、复诊策略、选叫策略、智能策略，多种队列策略</w:t>
            </w:r>
          </w:p>
          <w:p w14:paraId="7AE80700">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10、支持预留号功能</w:t>
            </w:r>
          </w:p>
          <w:p w14:paraId="3CD6107A">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11、支持手动激活、分配患者功能</w:t>
            </w:r>
          </w:p>
          <w:p w14:paraId="171A5701">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12、支持叫号功能，语音发布功能</w:t>
            </w:r>
          </w:p>
          <w:p w14:paraId="51FCC5C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13、支持及时数据刷新</w:t>
            </w:r>
          </w:p>
          <w:p w14:paraId="69EA33F5">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14、支持自助广播功能</w:t>
            </w:r>
          </w:p>
        </w:tc>
      </w:tr>
      <w:tr w14:paraId="03E4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7610A602">
            <w:pPr>
              <w:pStyle w:val="52"/>
              <w:spacing w:line="240" w:lineRule="atLeast"/>
              <w:ind w:firstLine="0" w:firstLineChars="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w:t>
            </w:r>
          </w:p>
        </w:tc>
        <w:tc>
          <w:tcPr>
            <w:tcW w:w="1091" w:type="pct"/>
            <w:shd w:val="clear" w:color="auto" w:fill="auto"/>
          </w:tcPr>
          <w:p w14:paraId="1DF5E113">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语音合成系统</w:t>
            </w:r>
          </w:p>
        </w:tc>
        <w:tc>
          <w:tcPr>
            <w:tcW w:w="3492" w:type="pct"/>
            <w:shd w:val="clear" w:color="auto" w:fill="auto"/>
          </w:tcPr>
          <w:p w14:paraId="7E1FD26B">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用于实现病员姓名和就诊科室等信息的语音合成和播报。1套</w:t>
            </w:r>
          </w:p>
          <w:p w14:paraId="5FC14EAB">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1、支持任意中文文本的合成，可以采用GB2312、GBK、BIG5和Unicode四种编码方式</w:t>
            </w:r>
          </w:p>
          <w:p w14:paraId="12A1416B">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2、支持音量控制</w:t>
            </w:r>
          </w:p>
          <w:p w14:paraId="0EF37DFE">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3、支持语速语调的调节，满足各种不同的场景需求</w:t>
            </w:r>
          </w:p>
        </w:tc>
      </w:tr>
      <w:tr w14:paraId="3DD1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554FC288">
            <w:pPr>
              <w:pStyle w:val="52"/>
              <w:spacing w:line="240" w:lineRule="atLeast"/>
              <w:ind w:firstLine="0" w:firstLineChars="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w:t>
            </w:r>
          </w:p>
        </w:tc>
        <w:tc>
          <w:tcPr>
            <w:tcW w:w="1091" w:type="pct"/>
            <w:shd w:val="clear" w:color="auto" w:fill="auto"/>
          </w:tcPr>
          <w:p w14:paraId="75D6C7F0">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虚拟语音终端</w:t>
            </w:r>
          </w:p>
        </w:tc>
        <w:tc>
          <w:tcPr>
            <w:tcW w:w="3492" w:type="pct"/>
            <w:shd w:val="clear" w:color="auto" w:fill="auto"/>
          </w:tcPr>
          <w:p w14:paraId="41684BDF">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用于Windows平台语音播报，31套。</w:t>
            </w:r>
          </w:p>
          <w:p w14:paraId="092C9C3E">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1、支持任意Windows平台发声</w:t>
            </w:r>
          </w:p>
          <w:p w14:paraId="7B30AA0B">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2、与语音合成系统共同工作，将合成语音信息播报</w:t>
            </w:r>
          </w:p>
          <w:p w14:paraId="5A2B71A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3、支持语音播放队列，避免语音混乱</w:t>
            </w:r>
          </w:p>
        </w:tc>
      </w:tr>
      <w:tr w14:paraId="7574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tcPr>
          <w:p w14:paraId="7BF8875F">
            <w:pPr>
              <w:pStyle w:val="52"/>
              <w:spacing w:line="240" w:lineRule="atLeast"/>
              <w:ind w:firstLine="0" w:firstLineChars="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w:t>
            </w:r>
          </w:p>
        </w:tc>
        <w:tc>
          <w:tcPr>
            <w:tcW w:w="1091" w:type="pct"/>
            <w:shd w:val="clear" w:color="auto" w:fill="auto"/>
          </w:tcPr>
          <w:p w14:paraId="2F2309C9">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虚拟叫号器客户端</w:t>
            </w:r>
          </w:p>
        </w:tc>
        <w:tc>
          <w:tcPr>
            <w:tcW w:w="3492" w:type="pct"/>
            <w:shd w:val="clear" w:color="auto" w:fill="auto"/>
          </w:tcPr>
          <w:p w14:paraId="1223ACD4">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安装在医生工作站内，用于医生自主叫号31套。</w:t>
            </w:r>
          </w:p>
          <w:p w14:paraId="3E105E25">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1、支持呼叫顺呼模式、选叫模式</w:t>
            </w:r>
          </w:p>
          <w:p w14:paraId="5A5CCBC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2、支持顺序呼叫、重新呼叫，支持诊结、过号的功能</w:t>
            </w:r>
          </w:p>
          <w:p w14:paraId="41110E27">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3、支持暂停就诊功能</w:t>
            </w:r>
          </w:p>
          <w:p w14:paraId="1605220F">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4、支持查看当前医生/诊位呼叫情况，查看目前队列人数、已完成人数</w:t>
            </w:r>
          </w:p>
          <w:p w14:paraId="5CDEBC2C">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5、支持选择队列功能</w:t>
            </w:r>
          </w:p>
          <w:p w14:paraId="1BB71746">
            <w:pPr>
              <w:widowControl/>
              <w:spacing w:line="240" w:lineRule="atLeast"/>
              <w:textAlignment w:val="center"/>
              <w:rPr>
                <w:rFonts w:asciiTheme="minorEastAsia" w:hAnsiTheme="minorEastAsia"/>
                <w:color w:val="000000"/>
                <w:szCs w:val="21"/>
              </w:rPr>
            </w:pPr>
            <w:r>
              <w:rPr>
                <w:rFonts w:hint="eastAsia" w:asciiTheme="minorEastAsia" w:hAnsiTheme="minorEastAsia"/>
                <w:color w:val="000000"/>
                <w:szCs w:val="21"/>
              </w:rPr>
              <w:t>6、支持叫号器精简\完整模式</w:t>
            </w:r>
          </w:p>
        </w:tc>
      </w:tr>
    </w:tbl>
    <w:p w14:paraId="7FF52265">
      <w:pPr>
        <w:pStyle w:val="84"/>
        <w:ind w:left="0" w:firstLine="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2.2.7硬件配置参数要求</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261"/>
        <w:gridCol w:w="7123"/>
      </w:tblGrid>
      <w:tr w14:paraId="324E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34EE89A">
            <w:pPr>
              <w:spacing w:line="240" w:lineRule="atLeast"/>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14:paraId="14FA7CDD">
            <w:pPr>
              <w:spacing w:line="240" w:lineRule="atLeast"/>
              <w:jc w:val="center"/>
              <w:rPr>
                <w:rFonts w:cs="宋体" w:asciiTheme="minorEastAsia" w:hAnsiTheme="minorEastAsia"/>
                <w:b/>
                <w:bCs/>
                <w:kern w:val="0"/>
                <w:szCs w:val="21"/>
              </w:rPr>
            </w:pPr>
            <w:r>
              <w:rPr>
                <w:rFonts w:hint="eastAsia" w:cs="宋体" w:asciiTheme="minorEastAsia" w:hAnsiTheme="minorEastAsia"/>
                <w:b/>
                <w:bCs/>
                <w:kern w:val="0"/>
                <w:szCs w:val="21"/>
              </w:rPr>
              <w:t>名称</w:t>
            </w:r>
          </w:p>
        </w:tc>
        <w:tc>
          <w:tcPr>
            <w:tcW w:w="3474" w:type="pct"/>
            <w:tcBorders>
              <w:top w:val="single" w:color="auto" w:sz="4" w:space="0"/>
              <w:left w:val="single" w:color="auto" w:sz="4" w:space="0"/>
              <w:bottom w:val="single" w:color="auto" w:sz="4" w:space="0"/>
              <w:right w:val="single" w:color="auto" w:sz="4" w:space="0"/>
            </w:tcBorders>
            <w:shd w:val="clear" w:color="auto" w:fill="auto"/>
            <w:vAlign w:val="center"/>
          </w:tcPr>
          <w:p w14:paraId="2B992845">
            <w:pPr>
              <w:spacing w:line="240" w:lineRule="atLeast"/>
              <w:jc w:val="center"/>
              <w:rPr>
                <w:rFonts w:cs="宋体" w:asciiTheme="minorEastAsia" w:hAnsiTheme="minorEastAsia"/>
                <w:b/>
                <w:bCs/>
                <w:kern w:val="0"/>
                <w:szCs w:val="21"/>
              </w:rPr>
            </w:pPr>
            <w:r>
              <w:rPr>
                <w:rFonts w:hint="eastAsia" w:cs="宋体" w:asciiTheme="minorEastAsia" w:hAnsiTheme="minorEastAsia"/>
                <w:b/>
                <w:bCs/>
                <w:kern w:val="0"/>
                <w:szCs w:val="21"/>
              </w:rPr>
              <w:t>配置参数要求</w:t>
            </w:r>
          </w:p>
        </w:tc>
      </w:tr>
      <w:tr w14:paraId="0EFD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tcPr>
          <w:p w14:paraId="629C7527">
            <w:pPr>
              <w:spacing w:line="240" w:lineRule="atLeast"/>
              <w:jc w:val="center"/>
              <w:rPr>
                <w:rFonts w:cs="宋体" w:asciiTheme="minorEastAsia" w:hAnsiTheme="minorEastAsia"/>
                <w:kern w:val="0"/>
                <w:szCs w:val="21"/>
              </w:rPr>
            </w:pPr>
            <w:r>
              <w:rPr>
                <w:rFonts w:hint="eastAsia" w:cs="宋体" w:asciiTheme="minorEastAsia" w:hAnsiTheme="minorEastAsia"/>
                <w:kern w:val="0"/>
                <w:szCs w:val="21"/>
              </w:rPr>
              <w:t>1</w:t>
            </w:r>
          </w:p>
        </w:tc>
        <w:tc>
          <w:tcPr>
            <w:tcW w:w="1103" w:type="pct"/>
            <w:tcBorders>
              <w:top w:val="single" w:color="auto" w:sz="4" w:space="0"/>
              <w:left w:val="single" w:color="auto" w:sz="4" w:space="0"/>
              <w:bottom w:val="single" w:color="auto" w:sz="4" w:space="0"/>
              <w:right w:val="single" w:color="auto" w:sz="4" w:space="0"/>
            </w:tcBorders>
            <w:shd w:val="clear" w:color="auto" w:fill="auto"/>
          </w:tcPr>
          <w:p w14:paraId="17124F0B">
            <w:pPr>
              <w:spacing w:line="240" w:lineRule="atLeast"/>
              <w:jc w:val="left"/>
              <w:rPr>
                <w:rFonts w:cs="宋体" w:asciiTheme="minorEastAsia" w:hAnsiTheme="minorEastAsia"/>
                <w:kern w:val="0"/>
                <w:szCs w:val="21"/>
              </w:rPr>
            </w:pPr>
            <w:r>
              <w:rPr>
                <w:rFonts w:hint="eastAsia" w:cs="宋体" w:asciiTheme="minorEastAsia" w:hAnsiTheme="minorEastAsia"/>
                <w:color w:val="000000" w:themeColor="text1"/>
                <w:kern w:val="0"/>
                <w:szCs w:val="21"/>
                <w:lang w:bidi="ar"/>
                <w14:textFill>
                  <w14:solidFill>
                    <w14:schemeClr w14:val="tx1"/>
                  </w14:solidFill>
                </w14:textFill>
              </w:rPr>
              <w:t>22寸网络一体机</w:t>
            </w:r>
          </w:p>
        </w:tc>
        <w:tc>
          <w:tcPr>
            <w:tcW w:w="3474" w:type="pct"/>
            <w:tcBorders>
              <w:top w:val="single" w:color="auto" w:sz="4" w:space="0"/>
              <w:left w:val="single" w:color="auto" w:sz="4" w:space="0"/>
              <w:bottom w:val="single" w:color="auto" w:sz="4" w:space="0"/>
              <w:right w:val="single" w:color="auto" w:sz="4" w:space="0"/>
            </w:tcBorders>
            <w:shd w:val="clear" w:color="auto" w:fill="auto"/>
          </w:tcPr>
          <w:p w14:paraId="14A4C3F8">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规格：22"全视角液晶屏；</w:t>
            </w:r>
          </w:p>
          <w:p w14:paraId="27F73A31">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操作系统：Android；</w:t>
            </w:r>
          </w:p>
          <w:p w14:paraId="558A484C">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CPU：四核；</w:t>
            </w:r>
          </w:p>
          <w:p w14:paraId="025DA77D">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内存：</w:t>
            </w:r>
            <w:r>
              <w:rPr>
                <w:rFonts w:hint="eastAsia" w:asciiTheme="minorEastAsia" w:hAnsiTheme="minorEastAsia"/>
                <w:color w:val="000000"/>
                <w:szCs w:val="21"/>
              </w:rPr>
              <w:t>2</w:t>
            </w:r>
            <w:r>
              <w:rPr>
                <w:rFonts w:asciiTheme="minorEastAsia" w:hAnsiTheme="minorEastAsia"/>
                <w:color w:val="000000"/>
                <w:szCs w:val="21"/>
              </w:rPr>
              <w:t>G；</w:t>
            </w:r>
          </w:p>
          <w:p w14:paraId="5A310604">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存储器：</w:t>
            </w:r>
            <w:r>
              <w:rPr>
                <w:rFonts w:hint="eastAsia" w:asciiTheme="minorEastAsia" w:hAnsiTheme="minorEastAsia"/>
                <w:color w:val="000000"/>
                <w:szCs w:val="21"/>
              </w:rPr>
              <w:t>16</w:t>
            </w:r>
            <w:r>
              <w:rPr>
                <w:rFonts w:asciiTheme="minorEastAsia" w:hAnsiTheme="minorEastAsia"/>
                <w:color w:val="000000"/>
                <w:szCs w:val="21"/>
              </w:rPr>
              <w:t>G(可扩展)；</w:t>
            </w:r>
          </w:p>
          <w:p w14:paraId="0208F541">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显示比例：16:9；</w:t>
            </w:r>
          </w:p>
          <w:p w14:paraId="0D4199C7">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解码分辨率：最高支持1080P；</w:t>
            </w:r>
          </w:p>
          <w:p w14:paraId="10A4C44F">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网络：支持以太网、WiFi；</w:t>
            </w:r>
          </w:p>
          <w:p w14:paraId="445121A1">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分辨率：1920*1080；</w:t>
            </w:r>
          </w:p>
          <w:p w14:paraId="15A2DAB3">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亮度：250cd/m</w:t>
            </w:r>
            <w:r>
              <w:rPr>
                <w:rFonts w:asciiTheme="minorEastAsia" w:hAnsiTheme="minorEastAsia"/>
                <w:color w:val="000000"/>
                <w:szCs w:val="21"/>
                <w:vertAlign w:val="superscript"/>
              </w:rPr>
              <w:t>2</w:t>
            </w:r>
            <w:r>
              <w:rPr>
                <w:rFonts w:asciiTheme="minorEastAsia" w:hAnsiTheme="minorEastAsia"/>
                <w:color w:val="000000"/>
                <w:szCs w:val="21"/>
              </w:rPr>
              <w:t>；</w:t>
            </w:r>
          </w:p>
          <w:p w14:paraId="44546754">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屏幕寿命：大于15000小时；</w:t>
            </w:r>
          </w:p>
          <w:p w14:paraId="1F8A3CF6">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外观：钢制外壳，金属烤漆，前置钢化玻璃；</w:t>
            </w:r>
          </w:p>
          <w:p w14:paraId="06FD0E2F">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语音播报：内置TTS语音合成终端，自带喇叭；</w:t>
            </w:r>
          </w:p>
          <w:p w14:paraId="3A043A8B">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支持横、竖、吊等方式安装；</w:t>
            </w:r>
          </w:p>
          <w:p w14:paraId="16311183">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尺寸：508mm*305mm*50mm；</w:t>
            </w:r>
          </w:p>
          <w:p w14:paraId="40588606">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功能：自定义个性化界面，根据业务量需求可自行更换显示内容或分屏显示。</w:t>
            </w:r>
          </w:p>
          <w:p w14:paraId="0F9805AD">
            <w:pPr>
              <w:widowControl/>
              <w:spacing w:line="240" w:lineRule="atLeast"/>
              <w:jc w:val="left"/>
              <w:textAlignment w:val="center"/>
              <w:rPr>
                <w:rFonts w:hint="eastAsia" w:asciiTheme="minorEastAsia" w:hAnsiTheme="minorEastAsia"/>
                <w:color w:val="000000"/>
                <w:szCs w:val="21"/>
              </w:rPr>
            </w:pPr>
            <w:r>
              <w:rPr>
                <w:rFonts w:hint="eastAsia" w:asciiTheme="minorEastAsia" w:hAnsiTheme="minorEastAsia"/>
                <w:color w:val="000000"/>
                <w:szCs w:val="21"/>
              </w:rPr>
              <w:t>硬件设备与软件系统配套，支持与总部院区系统数据实时互联互通。</w:t>
            </w:r>
          </w:p>
          <w:p w14:paraId="526D85F9">
            <w:pPr>
              <w:widowControl/>
              <w:spacing w:line="240" w:lineRule="atLeast"/>
              <w:jc w:val="left"/>
              <w:textAlignment w:val="center"/>
              <w:rPr>
                <w:rFonts w:hint="default" w:eastAsia="宋体"/>
                <w:lang w:val="en-US" w:eastAsia="zh-CN"/>
              </w:rPr>
            </w:pPr>
            <w:r>
              <w:rPr>
                <w:rFonts w:hint="eastAsia" w:asciiTheme="minorEastAsia" w:hAnsiTheme="minorEastAsia"/>
                <w:color w:val="000000"/>
                <w:szCs w:val="21"/>
                <w:lang w:val="en-US" w:eastAsia="zh-CN"/>
              </w:rPr>
              <w:t>需提供：3C中国国家强制性产品认证证书；节能证书；外观设计专利证书。</w:t>
            </w:r>
          </w:p>
        </w:tc>
      </w:tr>
      <w:tr w14:paraId="50EB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tcPr>
          <w:p w14:paraId="07B32989">
            <w:pPr>
              <w:spacing w:line="240" w:lineRule="atLeast"/>
              <w:jc w:val="center"/>
              <w:rPr>
                <w:rFonts w:cs="宋体" w:asciiTheme="minorEastAsia" w:hAnsiTheme="minorEastAsia"/>
                <w:kern w:val="0"/>
                <w:szCs w:val="21"/>
              </w:rPr>
            </w:pPr>
            <w:r>
              <w:rPr>
                <w:rFonts w:hint="eastAsia" w:cs="宋体" w:asciiTheme="minorEastAsia" w:hAnsiTheme="minorEastAsia"/>
                <w:kern w:val="0"/>
                <w:szCs w:val="21"/>
              </w:rPr>
              <w:t>2</w:t>
            </w:r>
          </w:p>
        </w:tc>
        <w:tc>
          <w:tcPr>
            <w:tcW w:w="1103" w:type="pct"/>
            <w:tcBorders>
              <w:top w:val="single" w:color="auto" w:sz="4" w:space="0"/>
              <w:left w:val="single" w:color="auto" w:sz="4" w:space="0"/>
              <w:bottom w:val="single" w:color="auto" w:sz="4" w:space="0"/>
              <w:right w:val="single" w:color="auto" w:sz="4" w:space="0"/>
            </w:tcBorders>
            <w:shd w:val="clear" w:color="auto" w:fill="auto"/>
          </w:tcPr>
          <w:p w14:paraId="5E240DDC">
            <w:pPr>
              <w:spacing w:line="240" w:lineRule="atLeast"/>
              <w:jc w:val="left"/>
              <w:rPr>
                <w:rFonts w:cs="宋体" w:asciiTheme="minorEastAsia" w:hAnsiTheme="minorEastAsia"/>
                <w:kern w:val="0"/>
                <w:szCs w:val="21"/>
              </w:rPr>
            </w:pPr>
            <w:r>
              <w:rPr>
                <w:rStyle w:val="83"/>
                <w:rFonts w:hint="default" w:cs="宋体" w:asciiTheme="minorEastAsia" w:hAnsiTheme="minorEastAsia" w:eastAsiaTheme="minorEastAsia"/>
                <w:color w:val="000000" w:themeColor="text1"/>
                <w:sz w:val="21"/>
                <w:szCs w:val="21"/>
                <w:lang w:bidi="ar"/>
                <w14:textFill>
                  <w14:solidFill>
                    <w14:schemeClr w14:val="tx1"/>
                  </w14:solidFill>
                </w14:textFill>
              </w:rPr>
              <w:t>32寸网络一体机</w:t>
            </w:r>
          </w:p>
        </w:tc>
        <w:tc>
          <w:tcPr>
            <w:tcW w:w="3474" w:type="pct"/>
            <w:tcBorders>
              <w:top w:val="single" w:color="auto" w:sz="4" w:space="0"/>
              <w:left w:val="single" w:color="auto" w:sz="4" w:space="0"/>
              <w:bottom w:val="single" w:color="auto" w:sz="4" w:space="0"/>
              <w:right w:val="single" w:color="auto" w:sz="4" w:space="0"/>
            </w:tcBorders>
            <w:shd w:val="clear" w:color="auto" w:fill="auto"/>
          </w:tcPr>
          <w:p w14:paraId="50393625">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规格：32"全视角液晶屏；</w:t>
            </w:r>
          </w:p>
          <w:p w14:paraId="7993498C">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操作系统：Android；</w:t>
            </w:r>
          </w:p>
          <w:p w14:paraId="45D84C6D">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CPU：四核；</w:t>
            </w:r>
          </w:p>
          <w:p w14:paraId="79DCEC42">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内存：</w:t>
            </w:r>
            <w:r>
              <w:rPr>
                <w:rFonts w:hint="eastAsia" w:asciiTheme="minorEastAsia" w:hAnsiTheme="minorEastAsia"/>
                <w:color w:val="000000"/>
                <w:szCs w:val="21"/>
              </w:rPr>
              <w:t>2</w:t>
            </w:r>
            <w:r>
              <w:rPr>
                <w:rFonts w:asciiTheme="minorEastAsia" w:hAnsiTheme="minorEastAsia"/>
                <w:color w:val="000000"/>
                <w:szCs w:val="21"/>
              </w:rPr>
              <w:t>G；</w:t>
            </w:r>
          </w:p>
          <w:p w14:paraId="126850BA">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存储器：</w:t>
            </w:r>
            <w:r>
              <w:rPr>
                <w:rFonts w:hint="eastAsia" w:asciiTheme="minorEastAsia" w:hAnsiTheme="minorEastAsia"/>
                <w:color w:val="000000"/>
                <w:szCs w:val="21"/>
              </w:rPr>
              <w:t>16</w:t>
            </w:r>
            <w:r>
              <w:rPr>
                <w:rFonts w:asciiTheme="minorEastAsia" w:hAnsiTheme="minorEastAsia"/>
                <w:color w:val="000000"/>
                <w:szCs w:val="21"/>
              </w:rPr>
              <w:t>G(可扩展)；</w:t>
            </w:r>
          </w:p>
          <w:p w14:paraId="4CB58628">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显示比例：16:9；</w:t>
            </w:r>
          </w:p>
          <w:p w14:paraId="399811F3">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解码分辨率：最高支持1080P；</w:t>
            </w:r>
          </w:p>
          <w:p w14:paraId="601F1709">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网络：支持以太网、WiFi；</w:t>
            </w:r>
          </w:p>
          <w:p w14:paraId="242FB1C3">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分辨率：1920*1080；</w:t>
            </w:r>
          </w:p>
          <w:p w14:paraId="1C911919">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亮度：350cd/m</w:t>
            </w:r>
            <w:r>
              <w:rPr>
                <w:rFonts w:asciiTheme="minorEastAsia" w:hAnsiTheme="minorEastAsia"/>
                <w:color w:val="000000"/>
                <w:szCs w:val="21"/>
                <w:vertAlign w:val="superscript"/>
              </w:rPr>
              <w:t>2</w:t>
            </w:r>
            <w:r>
              <w:rPr>
                <w:rFonts w:asciiTheme="minorEastAsia" w:hAnsiTheme="minorEastAsia"/>
                <w:color w:val="000000"/>
                <w:szCs w:val="21"/>
              </w:rPr>
              <w:t>；</w:t>
            </w:r>
          </w:p>
          <w:p w14:paraId="06EC99CD">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屏幕寿命：大于15000小时；</w:t>
            </w:r>
          </w:p>
          <w:p w14:paraId="3E8E7494">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外观：钢制外壳，金属烤漆，前置钢化玻璃；</w:t>
            </w:r>
          </w:p>
          <w:p w14:paraId="4F457984">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语音播报：内置TTS语音合成终端，自带喇叭；</w:t>
            </w:r>
          </w:p>
          <w:p w14:paraId="2BDFE965">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支持横、竖、吊等方式安装；</w:t>
            </w:r>
          </w:p>
          <w:p w14:paraId="3CD5C797">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尺寸：742mm*458mm*45mm；</w:t>
            </w:r>
          </w:p>
          <w:p w14:paraId="492AF014">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功能：自定义个性化界面，根据业务量需求可自行更换显示内容或分屏显示。</w:t>
            </w:r>
          </w:p>
          <w:p w14:paraId="0391B8FD">
            <w:pPr>
              <w:widowControl/>
              <w:spacing w:line="240" w:lineRule="atLeast"/>
              <w:jc w:val="left"/>
              <w:textAlignment w:val="center"/>
            </w:pPr>
            <w:r>
              <w:rPr>
                <w:rFonts w:hint="eastAsia" w:asciiTheme="minorEastAsia" w:hAnsiTheme="minorEastAsia"/>
                <w:color w:val="000000"/>
                <w:szCs w:val="21"/>
                <w:lang w:val="en-US" w:eastAsia="zh-CN"/>
              </w:rPr>
              <w:t>需提供：3C中国国家强制性产品认证证书；节能证书；外观设计专利证书。</w:t>
            </w:r>
          </w:p>
        </w:tc>
      </w:tr>
      <w:tr w14:paraId="13FF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tcPr>
          <w:p w14:paraId="2AADA07F">
            <w:pPr>
              <w:spacing w:line="240" w:lineRule="atLeast"/>
              <w:jc w:val="center"/>
              <w:rPr>
                <w:rFonts w:cs="宋体" w:asciiTheme="minorEastAsia" w:hAnsiTheme="minorEastAsia"/>
                <w:kern w:val="0"/>
                <w:szCs w:val="21"/>
              </w:rPr>
            </w:pPr>
            <w:r>
              <w:rPr>
                <w:rFonts w:hint="eastAsia" w:cs="宋体" w:asciiTheme="minorEastAsia" w:hAnsiTheme="minorEastAsia"/>
                <w:kern w:val="0"/>
                <w:szCs w:val="21"/>
              </w:rPr>
              <w:t>3</w:t>
            </w:r>
          </w:p>
        </w:tc>
        <w:tc>
          <w:tcPr>
            <w:tcW w:w="1103" w:type="pct"/>
            <w:tcBorders>
              <w:top w:val="single" w:color="auto" w:sz="4" w:space="0"/>
              <w:left w:val="single" w:color="auto" w:sz="4" w:space="0"/>
              <w:bottom w:val="single" w:color="auto" w:sz="4" w:space="0"/>
              <w:right w:val="single" w:color="auto" w:sz="4" w:space="0"/>
            </w:tcBorders>
            <w:shd w:val="clear" w:color="auto" w:fill="auto"/>
          </w:tcPr>
          <w:p w14:paraId="769FDA22">
            <w:pPr>
              <w:spacing w:line="240" w:lineRule="atLeast"/>
              <w:jc w:val="left"/>
              <w:rPr>
                <w:rFonts w:cs="宋体" w:asciiTheme="minorEastAsia" w:hAnsiTheme="minorEastAsia"/>
                <w:kern w:val="0"/>
                <w:szCs w:val="21"/>
              </w:rPr>
            </w:pPr>
            <w:r>
              <w:rPr>
                <w:rFonts w:hint="eastAsia" w:cs="宋体" w:asciiTheme="minorEastAsia" w:hAnsiTheme="minorEastAsia"/>
                <w:color w:val="000000" w:themeColor="text1"/>
                <w:kern w:val="0"/>
                <w:szCs w:val="21"/>
                <w:lang w:bidi="ar"/>
                <w14:textFill>
                  <w14:solidFill>
                    <w14:schemeClr w14:val="tx1"/>
                  </w14:solidFill>
                </w14:textFill>
              </w:rPr>
              <w:t>43寸网络一体机</w:t>
            </w:r>
          </w:p>
        </w:tc>
        <w:tc>
          <w:tcPr>
            <w:tcW w:w="3474" w:type="pct"/>
            <w:tcBorders>
              <w:top w:val="single" w:color="auto" w:sz="4" w:space="0"/>
              <w:left w:val="single" w:color="auto" w:sz="4" w:space="0"/>
              <w:bottom w:val="single" w:color="auto" w:sz="4" w:space="0"/>
              <w:right w:val="single" w:color="auto" w:sz="4" w:space="0"/>
            </w:tcBorders>
            <w:shd w:val="clear" w:color="auto" w:fill="auto"/>
          </w:tcPr>
          <w:p w14:paraId="33F275E9">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规格：43"全视角液晶屏；</w:t>
            </w:r>
          </w:p>
          <w:p w14:paraId="55DD8AC6">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操作系统：Android；</w:t>
            </w:r>
          </w:p>
          <w:p w14:paraId="4C2B5DF5">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CPU：四核；</w:t>
            </w:r>
          </w:p>
          <w:p w14:paraId="42B45B09">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内存：</w:t>
            </w:r>
            <w:r>
              <w:rPr>
                <w:rFonts w:hint="eastAsia" w:asciiTheme="minorEastAsia" w:hAnsiTheme="minorEastAsia"/>
                <w:color w:val="000000"/>
                <w:szCs w:val="21"/>
              </w:rPr>
              <w:t>2</w:t>
            </w:r>
            <w:r>
              <w:rPr>
                <w:rFonts w:asciiTheme="minorEastAsia" w:hAnsiTheme="minorEastAsia"/>
                <w:color w:val="000000"/>
                <w:szCs w:val="21"/>
              </w:rPr>
              <w:t>G；</w:t>
            </w:r>
          </w:p>
          <w:p w14:paraId="51C69D62">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存储器：</w:t>
            </w:r>
            <w:r>
              <w:rPr>
                <w:rFonts w:hint="eastAsia" w:asciiTheme="minorEastAsia" w:hAnsiTheme="minorEastAsia"/>
                <w:color w:val="000000"/>
                <w:szCs w:val="21"/>
              </w:rPr>
              <w:t>16</w:t>
            </w:r>
            <w:r>
              <w:rPr>
                <w:rFonts w:asciiTheme="minorEastAsia" w:hAnsiTheme="minorEastAsia"/>
                <w:color w:val="000000"/>
                <w:szCs w:val="21"/>
              </w:rPr>
              <w:t>G(可扩展)；</w:t>
            </w:r>
          </w:p>
          <w:p w14:paraId="0A34AD70">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显示比例：16:9；</w:t>
            </w:r>
          </w:p>
          <w:p w14:paraId="37F4BF73">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解码分辨率：最高支持1080P；</w:t>
            </w:r>
          </w:p>
          <w:p w14:paraId="2F1ABDA7">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网络：支持以太网、WiFi；</w:t>
            </w:r>
          </w:p>
          <w:p w14:paraId="4C6EB109">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分辨率：1920*1080；</w:t>
            </w:r>
          </w:p>
          <w:p w14:paraId="422CF573">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亮度：350cd/m</w:t>
            </w:r>
            <w:r>
              <w:rPr>
                <w:rFonts w:asciiTheme="minorEastAsia" w:hAnsiTheme="minorEastAsia"/>
                <w:color w:val="000000"/>
                <w:szCs w:val="21"/>
                <w:vertAlign w:val="superscript"/>
              </w:rPr>
              <w:t>2</w:t>
            </w:r>
            <w:r>
              <w:rPr>
                <w:rFonts w:asciiTheme="minorEastAsia" w:hAnsiTheme="minorEastAsia"/>
                <w:color w:val="000000"/>
                <w:szCs w:val="21"/>
              </w:rPr>
              <w:t>；</w:t>
            </w:r>
          </w:p>
          <w:p w14:paraId="27E14F12">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屏幕寿命：大于15000小时；</w:t>
            </w:r>
          </w:p>
          <w:p w14:paraId="2F267A06">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外观：钢制外壳，金属烤漆，前置钢化玻璃；</w:t>
            </w:r>
          </w:p>
          <w:p w14:paraId="4798F8D6">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语音播报：内置TTS语音合成终端，自带喇叭；</w:t>
            </w:r>
          </w:p>
          <w:p w14:paraId="49F35F31">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支持横、竖、吊等方式安装；</w:t>
            </w:r>
          </w:p>
          <w:p w14:paraId="7D1BAF3F">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尺寸：983mm*572mm*46mm；</w:t>
            </w:r>
          </w:p>
          <w:p w14:paraId="5C7188DD">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功能：自定义个性化界面，根据业务量需求可自行更换显示内容或分屏显示。</w:t>
            </w:r>
          </w:p>
          <w:p w14:paraId="5429AF96">
            <w:pPr>
              <w:pStyle w:val="29"/>
              <w:ind w:left="0" w:leftChars="0" w:firstLine="0" w:firstLineChars="0"/>
            </w:pPr>
            <w:r>
              <w:rPr>
                <w:rFonts w:hint="eastAsia" w:eastAsia="宋体" w:cs="Times New Roman" w:asciiTheme="minorEastAsia" w:hAnsiTheme="minorEastAsia"/>
                <w:color w:val="000000"/>
                <w:kern w:val="2"/>
                <w:sz w:val="21"/>
                <w:szCs w:val="21"/>
                <w:lang w:val="en-US" w:eastAsia="zh-CN" w:bidi="ar-SA"/>
              </w:rPr>
              <w:t>需提供</w:t>
            </w:r>
            <w:r>
              <w:rPr>
                <w:rFonts w:hint="eastAsia" w:cs="Times New Roman" w:asciiTheme="minorEastAsia" w:hAnsiTheme="minorEastAsia"/>
                <w:color w:val="000000"/>
                <w:kern w:val="2"/>
                <w:sz w:val="21"/>
                <w:szCs w:val="21"/>
                <w:lang w:val="en-US" w:eastAsia="zh-CN" w:bidi="ar-SA"/>
              </w:rPr>
              <w:t>：</w:t>
            </w:r>
            <w:r>
              <w:rPr>
                <w:rFonts w:hint="eastAsia" w:eastAsia="宋体" w:cs="Times New Roman" w:asciiTheme="minorEastAsia" w:hAnsiTheme="minorEastAsia"/>
                <w:color w:val="000000"/>
                <w:kern w:val="2"/>
                <w:sz w:val="21"/>
                <w:szCs w:val="21"/>
                <w:lang w:val="en-US" w:eastAsia="zh-CN" w:bidi="ar-SA"/>
              </w:rPr>
              <w:t>3C中国国家强制性产品认证证书；节能证书。</w:t>
            </w:r>
          </w:p>
        </w:tc>
      </w:tr>
      <w:tr w14:paraId="1121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trPr>
        <w:tc>
          <w:tcPr>
            <w:tcW w:w="421" w:type="pct"/>
            <w:tcBorders>
              <w:top w:val="single" w:color="auto" w:sz="4" w:space="0"/>
              <w:left w:val="single" w:color="auto" w:sz="4" w:space="0"/>
              <w:bottom w:val="single" w:color="auto" w:sz="4" w:space="0"/>
              <w:right w:val="single" w:color="auto" w:sz="4" w:space="0"/>
            </w:tcBorders>
            <w:shd w:val="clear" w:color="auto" w:fill="auto"/>
          </w:tcPr>
          <w:p w14:paraId="351CCE85">
            <w:pPr>
              <w:spacing w:line="240" w:lineRule="atLeast"/>
              <w:jc w:val="center"/>
              <w:rPr>
                <w:rFonts w:cs="宋体" w:asciiTheme="minorEastAsia" w:hAnsiTheme="minorEastAsia"/>
                <w:kern w:val="0"/>
                <w:szCs w:val="21"/>
              </w:rPr>
            </w:pPr>
            <w:r>
              <w:rPr>
                <w:rFonts w:hint="eastAsia" w:cs="宋体" w:asciiTheme="minorEastAsia" w:hAnsiTheme="minorEastAsia"/>
                <w:kern w:val="0"/>
                <w:szCs w:val="21"/>
              </w:rPr>
              <w:t>4</w:t>
            </w:r>
          </w:p>
        </w:tc>
        <w:tc>
          <w:tcPr>
            <w:tcW w:w="1103" w:type="pct"/>
            <w:tcBorders>
              <w:top w:val="single" w:color="auto" w:sz="4" w:space="0"/>
              <w:left w:val="single" w:color="auto" w:sz="4" w:space="0"/>
              <w:bottom w:val="single" w:color="auto" w:sz="4" w:space="0"/>
              <w:right w:val="single" w:color="auto" w:sz="4" w:space="0"/>
            </w:tcBorders>
            <w:shd w:val="clear" w:color="auto" w:fill="auto"/>
          </w:tcPr>
          <w:p w14:paraId="798ED622">
            <w:pPr>
              <w:spacing w:line="240" w:lineRule="atLeast"/>
              <w:jc w:val="left"/>
              <w:rPr>
                <w:rFonts w:cs="宋体" w:asciiTheme="minorEastAsia" w:hAnsiTheme="minorEastAsia"/>
                <w:kern w:val="0"/>
                <w:szCs w:val="21"/>
              </w:rPr>
            </w:pPr>
            <w:r>
              <w:rPr>
                <w:rFonts w:hint="eastAsia" w:cs="宋体" w:asciiTheme="minorEastAsia" w:hAnsiTheme="minorEastAsia"/>
                <w:color w:val="000000" w:themeColor="text1"/>
                <w:kern w:val="0"/>
                <w:szCs w:val="21"/>
                <w:lang w:bidi="ar"/>
                <w14:textFill>
                  <w14:solidFill>
                    <w14:schemeClr w14:val="tx1"/>
                  </w14:solidFill>
                </w14:textFill>
              </w:rPr>
              <w:t>55寸网络一体机</w:t>
            </w:r>
          </w:p>
        </w:tc>
        <w:tc>
          <w:tcPr>
            <w:tcW w:w="3474" w:type="pct"/>
            <w:tcBorders>
              <w:top w:val="single" w:color="auto" w:sz="4" w:space="0"/>
              <w:left w:val="single" w:color="auto" w:sz="4" w:space="0"/>
              <w:bottom w:val="single" w:color="auto" w:sz="4" w:space="0"/>
              <w:right w:val="single" w:color="auto" w:sz="4" w:space="0"/>
            </w:tcBorders>
            <w:shd w:val="clear" w:color="auto" w:fill="auto"/>
          </w:tcPr>
          <w:p w14:paraId="29093143">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规格：55"全视角液晶屏；</w:t>
            </w:r>
          </w:p>
          <w:p w14:paraId="03C2F96B">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操作系统：Android；</w:t>
            </w:r>
          </w:p>
          <w:p w14:paraId="2DDF36EF">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CPU：四核；</w:t>
            </w:r>
          </w:p>
          <w:p w14:paraId="518C2858">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内存：</w:t>
            </w:r>
            <w:r>
              <w:rPr>
                <w:rFonts w:hint="eastAsia" w:asciiTheme="minorEastAsia" w:hAnsiTheme="minorEastAsia"/>
                <w:color w:val="000000"/>
                <w:szCs w:val="21"/>
              </w:rPr>
              <w:t>2</w:t>
            </w:r>
            <w:r>
              <w:rPr>
                <w:rFonts w:asciiTheme="minorEastAsia" w:hAnsiTheme="minorEastAsia"/>
                <w:color w:val="000000"/>
                <w:szCs w:val="21"/>
              </w:rPr>
              <w:t>G；</w:t>
            </w:r>
          </w:p>
          <w:p w14:paraId="74D8CD1D">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存储器：</w:t>
            </w:r>
            <w:r>
              <w:rPr>
                <w:rFonts w:hint="eastAsia" w:asciiTheme="minorEastAsia" w:hAnsiTheme="minorEastAsia"/>
                <w:color w:val="000000"/>
                <w:szCs w:val="21"/>
              </w:rPr>
              <w:t>16</w:t>
            </w:r>
            <w:r>
              <w:rPr>
                <w:rFonts w:asciiTheme="minorEastAsia" w:hAnsiTheme="minorEastAsia"/>
                <w:color w:val="000000"/>
                <w:szCs w:val="21"/>
              </w:rPr>
              <w:t>G(可扩展)；</w:t>
            </w:r>
          </w:p>
          <w:p w14:paraId="31607131">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显示比例：16:9；</w:t>
            </w:r>
          </w:p>
          <w:p w14:paraId="3A69BFC5">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解码分辨率：最高支持1080P；</w:t>
            </w:r>
          </w:p>
          <w:p w14:paraId="1C0AC02A">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网络：支持以太网、WiFi；</w:t>
            </w:r>
          </w:p>
          <w:p w14:paraId="43185506">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分辨率：1920*1080；</w:t>
            </w:r>
          </w:p>
          <w:p w14:paraId="6095C5D5">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亮度：350cd/m</w:t>
            </w:r>
            <w:r>
              <w:rPr>
                <w:rFonts w:asciiTheme="minorEastAsia" w:hAnsiTheme="minorEastAsia"/>
                <w:color w:val="000000"/>
                <w:szCs w:val="21"/>
                <w:vertAlign w:val="superscript"/>
              </w:rPr>
              <w:t>2</w:t>
            </w:r>
            <w:r>
              <w:rPr>
                <w:rFonts w:asciiTheme="minorEastAsia" w:hAnsiTheme="minorEastAsia"/>
                <w:color w:val="000000"/>
                <w:szCs w:val="21"/>
              </w:rPr>
              <w:t>；</w:t>
            </w:r>
          </w:p>
          <w:p w14:paraId="36D31401">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屏幕寿命：大于15000小时；</w:t>
            </w:r>
          </w:p>
          <w:p w14:paraId="4EE5F888">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外观：钢制外壳，金属烤漆，前置钢化玻璃；</w:t>
            </w:r>
          </w:p>
          <w:p w14:paraId="21F6F4FB">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语音播报：内置TTS语音合成终端，自带喇叭；</w:t>
            </w:r>
          </w:p>
          <w:p w14:paraId="085625B5">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支持横、竖、吊等方式安装；</w:t>
            </w:r>
          </w:p>
          <w:p w14:paraId="04FC702F">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尺寸：1820*728*26mm；</w:t>
            </w:r>
          </w:p>
          <w:p w14:paraId="4A857430">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功能：自定义个性化界面，根据业务量需求可自行更换显示内容或分屏显示。</w:t>
            </w:r>
          </w:p>
          <w:p w14:paraId="37571016">
            <w:pPr>
              <w:pStyle w:val="29"/>
              <w:ind w:left="0" w:leftChars="0" w:firstLine="0" w:firstLineChars="0"/>
            </w:pPr>
            <w:r>
              <w:rPr>
                <w:rFonts w:hint="eastAsia" w:eastAsia="宋体" w:cs="Times New Roman" w:asciiTheme="minorEastAsia" w:hAnsiTheme="minorEastAsia"/>
                <w:color w:val="000000"/>
                <w:kern w:val="2"/>
                <w:sz w:val="21"/>
                <w:szCs w:val="21"/>
                <w:lang w:val="en-US" w:eastAsia="zh-CN" w:bidi="ar-SA"/>
              </w:rPr>
              <w:t>需提供</w:t>
            </w:r>
            <w:r>
              <w:rPr>
                <w:rFonts w:hint="eastAsia" w:cs="Times New Roman" w:asciiTheme="minorEastAsia" w:hAnsiTheme="minorEastAsia"/>
                <w:color w:val="000000"/>
                <w:kern w:val="2"/>
                <w:sz w:val="21"/>
                <w:szCs w:val="21"/>
                <w:lang w:val="en-US" w:eastAsia="zh-CN" w:bidi="ar-SA"/>
              </w:rPr>
              <w:t>：</w:t>
            </w:r>
            <w:r>
              <w:rPr>
                <w:rFonts w:hint="eastAsia" w:eastAsia="宋体" w:cs="Times New Roman" w:asciiTheme="minorEastAsia" w:hAnsiTheme="minorEastAsia"/>
                <w:color w:val="000000"/>
                <w:kern w:val="2"/>
                <w:sz w:val="21"/>
                <w:szCs w:val="21"/>
                <w:lang w:val="en-US" w:eastAsia="zh-CN" w:bidi="ar-SA"/>
              </w:rPr>
              <w:t>3C中国国家强制性产品认证证书；节能证书。</w:t>
            </w:r>
          </w:p>
        </w:tc>
      </w:tr>
      <w:tr w14:paraId="0535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tcPr>
          <w:p w14:paraId="7172D6F3">
            <w:pPr>
              <w:spacing w:line="240" w:lineRule="atLeast"/>
              <w:jc w:val="center"/>
              <w:rPr>
                <w:rFonts w:cs="宋体" w:asciiTheme="minorEastAsia" w:hAnsiTheme="minorEastAsia"/>
                <w:kern w:val="0"/>
                <w:szCs w:val="21"/>
              </w:rPr>
            </w:pPr>
            <w:r>
              <w:rPr>
                <w:rFonts w:hint="eastAsia" w:cs="宋体" w:asciiTheme="minorEastAsia" w:hAnsiTheme="minorEastAsia"/>
                <w:kern w:val="0"/>
                <w:szCs w:val="21"/>
              </w:rPr>
              <w:t>5</w:t>
            </w:r>
          </w:p>
        </w:tc>
        <w:tc>
          <w:tcPr>
            <w:tcW w:w="1103" w:type="pct"/>
            <w:tcBorders>
              <w:top w:val="single" w:color="auto" w:sz="4" w:space="0"/>
              <w:left w:val="single" w:color="auto" w:sz="4" w:space="0"/>
              <w:bottom w:val="single" w:color="auto" w:sz="4" w:space="0"/>
              <w:right w:val="single" w:color="auto" w:sz="4" w:space="0"/>
            </w:tcBorders>
            <w:shd w:val="clear" w:color="auto" w:fill="auto"/>
          </w:tcPr>
          <w:p w14:paraId="418E41CF">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音源功率放大器</w:t>
            </w:r>
          </w:p>
        </w:tc>
        <w:tc>
          <w:tcPr>
            <w:tcW w:w="3474" w:type="pct"/>
            <w:tcBorders>
              <w:top w:val="single" w:color="auto" w:sz="4" w:space="0"/>
              <w:left w:val="single" w:color="auto" w:sz="4" w:space="0"/>
              <w:bottom w:val="single" w:color="auto" w:sz="4" w:space="0"/>
              <w:right w:val="single" w:color="auto" w:sz="4" w:space="0"/>
            </w:tcBorders>
            <w:shd w:val="clear" w:color="auto" w:fill="auto"/>
          </w:tcPr>
          <w:p w14:paraId="57B28316">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1.内置MP3解码播放器与蓝牙播放器，支持U盘及SD卡存储；</w:t>
            </w:r>
          </w:p>
          <w:p w14:paraId="6709915D">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2.采用高效功率放大电路，设有1路话筒输入，1路线路输入；</w:t>
            </w:r>
          </w:p>
          <w:p w14:paraId="719760B6">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.定压定阻输出，定压输出为100V，定阻输出为4-16Ω；</w:t>
            </w:r>
          </w:p>
          <w:p w14:paraId="7595822F">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4</w:t>
            </w:r>
            <w:r>
              <w:rPr>
                <w:rFonts w:asciiTheme="minorEastAsia" w:hAnsiTheme="minorEastAsia"/>
                <w:color w:val="000000"/>
                <w:szCs w:val="21"/>
              </w:rPr>
              <w:t>.每路输入音量可独立控制，带有高低音音量调节；</w:t>
            </w:r>
          </w:p>
          <w:p w14:paraId="74C643F0">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5</w:t>
            </w:r>
            <w:r>
              <w:rPr>
                <w:rFonts w:asciiTheme="minorEastAsia" w:hAnsiTheme="minorEastAsia"/>
                <w:color w:val="000000"/>
                <w:szCs w:val="21"/>
              </w:rPr>
              <w:t>.话筒1线路同时混音输出；</w:t>
            </w:r>
          </w:p>
          <w:p w14:paraId="4D55D2A0">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6</w:t>
            </w:r>
            <w:r>
              <w:rPr>
                <w:rFonts w:asciiTheme="minorEastAsia" w:hAnsiTheme="minorEastAsia"/>
                <w:color w:val="000000"/>
                <w:szCs w:val="21"/>
              </w:rPr>
              <w:t>.功率输出：≥80W</w:t>
            </w:r>
            <w:r>
              <w:rPr>
                <w:rFonts w:hint="eastAsia" w:asciiTheme="minorEastAsia" w:hAnsiTheme="minorEastAsia"/>
                <w:color w:val="000000"/>
                <w:szCs w:val="21"/>
              </w:rPr>
              <w:t>；</w:t>
            </w:r>
          </w:p>
          <w:p w14:paraId="2681F3BB">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7</w:t>
            </w:r>
            <w:r>
              <w:rPr>
                <w:rFonts w:asciiTheme="minorEastAsia" w:hAnsiTheme="minorEastAsia"/>
                <w:color w:val="000000"/>
                <w:szCs w:val="21"/>
              </w:rPr>
              <w:t>.电源AC220V/50Hz</w:t>
            </w:r>
            <w:r>
              <w:rPr>
                <w:rFonts w:hint="eastAsia" w:asciiTheme="minorEastAsia" w:hAnsiTheme="minorEastAsia"/>
                <w:color w:val="000000"/>
                <w:szCs w:val="21"/>
              </w:rPr>
              <w:t>；</w:t>
            </w:r>
          </w:p>
          <w:p w14:paraId="300BDD3D">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8.话筒灵敏度：-40dB</w:t>
            </w:r>
            <w:r>
              <w:rPr>
                <w:rFonts w:hint="eastAsia" w:asciiTheme="minorEastAsia" w:hAnsiTheme="minorEastAsia"/>
                <w:color w:val="000000"/>
                <w:szCs w:val="21"/>
              </w:rPr>
              <w:t>；</w:t>
            </w:r>
          </w:p>
          <w:p w14:paraId="1E9117B1">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9.频率响应：80Hz～20KHz±5dB</w:t>
            </w:r>
            <w:r>
              <w:rPr>
                <w:rFonts w:hint="eastAsia" w:asciiTheme="minorEastAsia" w:hAnsiTheme="minorEastAsia"/>
                <w:color w:val="000000"/>
                <w:szCs w:val="21"/>
              </w:rPr>
              <w:t>；</w:t>
            </w:r>
          </w:p>
          <w:p w14:paraId="38B88343">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1</w:t>
            </w:r>
            <w:r>
              <w:rPr>
                <w:rFonts w:asciiTheme="minorEastAsia" w:hAnsiTheme="minorEastAsia"/>
                <w:color w:val="000000"/>
                <w:szCs w:val="21"/>
              </w:rPr>
              <w:t>0.谐波失真：THD≤0.1%</w:t>
            </w:r>
            <w:r>
              <w:rPr>
                <w:rFonts w:hint="eastAsia" w:asciiTheme="minorEastAsia" w:hAnsiTheme="minorEastAsia"/>
                <w:color w:val="000000"/>
                <w:szCs w:val="21"/>
              </w:rPr>
              <w:t>；</w:t>
            </w:r>
          </w:p>
          <w:p w14:paraId="7EE8CB20">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11.信噪比：≥70dB</w:t>
            </w:r>
            <w:r>
              <w:rPr>
                <w:rFonts w:hint="eastAsia" w:asciiTheme="minorEastAsia" w:hAnsiTheme="minorEastAsia"/>
                <w:color w:val="000000"/>
                <w:szCs w:val="21"/>
              </w:rPr>
              <w:t>；</w:t>
            </w:r>
          </w:p>
          <w:p w14:paraId="3C0785C8">
            <w:pPr>
              <w:widowControl/>
              <w:spacing w:line="240" w:lineRule="atLeast"/>
              <w:jc w:val="left"/>
              <w:textAlignment w:val="center"/>
              <w:rPr>
                <w:rFonts w:asciiTheme="minorEastAsia" w:hAnsiTheme="minorEastAsia"/>
                <w:color w:val="000000"/>
                <w:szCs w:val="21"/>
              </w:rPr>
            </w:pPr>
            <w:r>
              <w:rPr>
                <w:rFonts w:asciiTheme="minorEastAsia" w:hAnsiTheme="minorEastAsia"/>
                <w:color w:val="000000"/>
                <w:szCs w:val="21"/>
              </w:rPr>
              <w:t>12.线路输出：0dB</w:t>
            </w:r>
            <w:r>
              <w:rPr>
                <w:rFonts w:hint="eastAsia" w:asciiTheme="minorEastAsia" w:hAnsiTheme="minorEastAsia"/>
                <w:color w:val="000000"/>
                <w:szCs w:val="21"/>
              </w:rPr>
              <w:t>。</w:t>
            </w:r>
          </w:p>
        </w:tc>
      </w:tr>
      <w:tr w14:paraId="0007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tcPr>
          <w:p w14:paraId="1259EE01">
            <w:pPr>
              <w:spacing w:line="240" w:lineRule="atLeast"/>
              <w:jc w:val="center"/>
              <w:rPr>
                <w:rFonts w:cs="宋体" w:asciiTheme="minorEastAsia" w:hAnsiTheme="minorEastAsia"/>
                <w:kern w:val="0"/>
                <w:szCs w:val="21"/>
              </w:rPr>
            </w:pPr>
            <w:r>
              <w:rPr>
                <w:rFonts w:hint="eastAsia" w:cs="宋体" w:asciiTheme="minorEastAsia" w:hAnsiTheme="minorEastAsia"/>
                <w:kern w:val="0"/>
                <w:szCs w:val="21"/>
              </w:rPr>
              <w:t>6</w:t>
            </w:r>
          </w:p>
        </w:tc>
        <w:tc>
          <w:tcPr>
            <w:tcW w:w="1103" w:type="pct"/>
            <w:tcBorders>
              <w:top w:val="single" w:color="auto" w:sz="4" w:space="0"/>
              <w:left w:val="single" w:color="auto" w:sz="4" w:space="0"/>
              <w:bottom w:val="single" w:color="auto" w:sz="4" w:space="0"/>
              <w:right w:val="single" w:color="auto" w:sz="4" w:space="0"/>
            </w:tcBorders>
            <w:shd w:val="clear" w:color="auto" w:fill="auto"/>
          </w:tcPr>
          <w:p w14:paraId="27175256">
            <w:pPr>
              <w:spacing w:line="240" w:lineRule="atLeast"/>
              <w:jc w:val="left"/>
              <w:rPr>
                <w:rFonts w:cs="宋体" w:asciiTheme="minorEastAsia" w:hAnsiTheme="minorEastAsia"/>
                <w:color w:val="000000" w:themeColor="text1"/>
                <w:kern w:val="0"/>
                <w:szCs w:val="21"/>
                <w:lang w:bidi="ar"/>
                <w14:textFill>
                  <w14:solidFill>
                    <w14:schemeClr w14:val="tx1"/>
                  </w14:solidFill>
                </w14:textFill>
              </w:rPr>
            </w:pPr>
            <w:r>
              <w:rPr>
                <w:rFonts w:hint="eastAsia" w:cs="宋体" w:asciiTheme="minorEastAsia" w:hAnsiTheme="minorEastAsia"/>
                <w:color w:val="000000"/>
                <w:kern w:val="0"/>
                <w:szCs w:val="21"/>
                <w:lang w:bidi="ar"/>
              </w:rPr>
              <w:t>多媒体扬声器</w:t>
            </w:r>
          </w:p>
        </w:tc>
        <w:tc>
          <w:tcPr>
            <w:tcW w:w="3474" w:type="pct"/>
            <w:tcBorders>
              <w:top w:val="single" w:color="auto" w:sz="4" w:space="0"/>
              <w:left w:val="single" w:color="auto" w:sz="4" w:space="0"/>
              <w:bottom w:val="single" w:color="auto" w:sz="4" w:space="0"/>
              <w:right w:val="single" w:color="auto" w:sz="4" w:space="0"/>
            </w:tcBorders>
            <w:shd w:val="clear" w:color="auto" w:fill="auto"/>
          </w:tcPr>
          <w:p w14:paraId="1FDF4F06">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1.额定功率≥（PHC）1.5W/3W/6W；</w:t>
            </w:r>
          </w:p>
          <w:p w14:paraId="66F835A9">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2.全频≥5寸无边框音箱；</w:t>
            </w:r>
          </w:p>
          <w:p w14:paraId="40A5CA92">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3.灵敏度（1kHz,1米）:90dB±3dB；</w:t>
            </w:r>
          </w:p>
          <w:p w14:paraId="538B9DFA">
            <w:pPr>
              <w:widowControl/>
              <w:spacing w:line="240" w:lineRule="atLeast"/>
              <w:jc w:val="left"/>
              <w:textAlignment w:val="center"/>
              <w:rPr>
                <w:rFonts w:asciiTheme="minorEastAsia" w:hAnsiTheme="minorEastAsia"/>
                <w:color w:val="000000"/>
                <w:szCs w:val="21"/>
              </w:rPr>
            </w:pPr>
            <w:r>
              <w:rPr>
                <w:rFonts w:hint="eastAsia" w:asciiTheme="minorEastAsia" w:hAnsiTheme="minorEastAsia"/>
                <w:color w:val="000000"/>
                <w:szCs w:val="21"/>
              </w:rPr>
              <w:t>4.有效频率范围:90-18kH。</w:t>
            </w:r>
          </w:p>
        </w:tc>
      </w:tr>
      <w:tr w14:paraId="163A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top"/>
          </w:tcPr>
          <w:p w14:paraId="5583B4C2">
            <w:pPr>
              <w:spacing w:line="240" w:lineRule="atLeas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7</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top"/>
          </w:tcPr>
          <w:p w14:paraId="6C42F74E">
            <w:pPr>
              <w:widowControl/>
              <w:spacing w:line="240" w:lineRule="atLeast"/>
              <w:jc w:val="left"/>
              <w:textAlignment w:val="center"/>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color w:val="000000"/>
                <w:szCs w:val="21"/>
              </w:rPr>
              <w:t>辅材、线材</w:t>
            </w:r>
          </w:p>
        </w:tc>
        <w:tc>
          <w:tcPr>
            <w:tcW w:w="3474" w:type="pct"/>
            <w:tcBorders>
              <w:top w:val="single" w:color="auto" w:sz="4" w:space="0"/>
              <w:left w:val="single" w:color="auto" w:sz="4" w:space="0"/>
              <w:bottom w:val="single" w:color="auto" w:sz="4" w:space="0"/>
              <w:right w:val="single" w:color="auto" w:sz="4" w:space="0"/>
            </w:tcBorders>
            <w:shd w:val="clear" w:color="auto" w:fill="auto"/>
            <w:vAlign w:val="top"/>
          </w:tcPr>
          <w:p w14:paraId="76C4D9FA">
            <w:pPr>
              <w:widowControl/>
              <w:spacing w:line="240" w:lineRule="atLeast"/>
              <w:jc w:val="left"/>
              <w:textAlignment w:val="center"/>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color w:val="000000"/>
                <w:szCs w:val="21"/>
              </w:rPr>
              <w:t>国产优质</w:t>
            </w:r>
          </w:p>
        </w:tc>
      </w:tr>
      <w:tr w14:paraId="7A9E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shd w:val="clear" w:color="auto" w:fill="auto"/>
          </w:tcPr>
          <w:p w14:paraId="1A33DE03">
            <w:pPr>
              <w:spacing w:line="240" w:lineRule="atLeas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8</w:t>
            </w:r>
          </w:p>
        </w:tc>
        <w:tc>
          <w:tcPr>
            <w:tcW w:w="1103" w:type="pct"/>
            <w:tcBorders>
              <w:top w:val="single" w:color="auto" w:sz="4" w:space="0"/>
              <w:left w:val="single" w:color="auto" w:sz="4" w:space="0"/>
              <w:bottom w:val="single" w:color="auto" w:sz="4" w:space="0"/>
              <w:right w:val="single" w:color="auto" w:sz="4" w:space="0"/>
            </w:tcBorders>
            <w:shd w:val="clear" w:color="auto" w:fill="auto"/>
          </w:tcPr>
          <w:p w14:paraId="78F3D0A7">
            <w:pPr>
              <w:widowControl/>
              <w:spacing w:line="240" w:lineRule="atLeast"/>
              <w:jc w:val="left"/>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color w:val="000000"/>
                <w:szCs w:val="21"/>
                <w:lang w:val="en-US" w:eastAsia="zh-CN"/>
              </w:rPr>
              <w:t>电脑</w:t>
            </w:r>
          </w:p>
        </w:tc>
        <w:tc>
          <w:tcPr>
            <w:tcW w:w="3474" w:type="pct"/>
            <w:tcBorders>
              <w:top w:val="single" w:color="auto" w:sz="4" w:space="0"/>
              <w:left w:val="single" w:color="auto" w:sz="4" w:space="0"/>
              <w:bottom w:val="single" w:color="auto" w:sz="4" w:space="0"/>
              <w:right w:val="single" w:color="auto" w:sz="4" w:space="0"/>
            </w:tcBorders>
            <w:shd w:val="clear" w:color="auto" w:fill="auto"/>
            <w:vAlign w:val="top"/>
          </w:tcPr>
          <w:p w14:paraId="2AE57D31">
            <w:pPr>
              <w:pStyle w:val="47"/>
              <w:numPr>
                <w:ilvl w:val="0"/>
                <w:numId w:val="5"/>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w:t>
            </w:r>
            <w:r>
              <w:rPr>
                <w:rFonts w:hint="eastAsia" w:ascii="宋体" w:hAnsi="宋体" w:cs="宋体"/>
                <w:i w:val="0"/>
                <w:iCs w:val="0"/>
                <w:color w:val="000000"/>
                <w:kern w:val="0"/>
                <w:sz w:val="24"/>
                <w:szCs w:val="24"/>
                <w:u w:val="none"/>
                <w:lang w:val="en-US" w:eastAsia="zh-CN" w:bidi="ar"/>
              </w:rPr>
              <w:t>Intel I5-12400</w:t>
            </w:r>
            <w:r>
              <w:rPr>
                <w:rFonts w:hint="eastAsia" w:ascii="宋体" w:hAnsi="宋体" w:eastAsia="宋体" w:cs="宋体"/>
                <w:i w:val="0"/>
                <w:iCs w:val="0"/>
                <w:color w:val="000000"/>
                <w:kern w:val="0"/>
                <w:sz w:val="24"/>
                <w:szCs w:val="24"/>
                <w:u w:val="none"/>
                <w:lang w:val="en-US" w:eastAsia="zh-CN" w:bidi="ar"/>
              </w:rPr>
              <w:t>主频：2.5GHz至4.4GHz 核心数量：六核心  线程数量：十二线程 二级缓存：7.5MB 三级缓存：18MB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2.内存：容量：单条16GB 类型：DDR4 主频：3200MHZ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3.硬盘1：容量：512GB 闪存类型：3D NAND TLC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连续读取最大速度：2800MB/s 连续写入最大速度：1300MB/s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接口类型：M.2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硬盘2：容量：1000GB 盘片数量：1片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单碟容量：1000GB 缓存：64MB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转速：7200rpm 接口类型：SATA3.0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接口速率：6Gb/秒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屏幕尺寸：23.8-24英寸 屏幕刷新率：75Hz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面板：VA 质保接口：HDMI，VGA分辨率：1920*1080 </w:t>
            </w:r>
          </w:p>
          <w:p w14:paraId="11C2F29B">
            <w:pPr>
              <w:pStyle w:val="47"/>
              <w:numPr>
                <w:ilvl w:val="0"/>
                <w:numId w:val="0"/>
              </w:numPr>
              <w:ind w:left="0" w:leftChars="0" w:firstLine="0" w:firstLineChars="0"/>
              <w:rPr>
                <w:rFonts w:hint="default" w:asciiTheme="minorHAnsi" w:hAnsiTheme="minorHAnsi" w:eastAsiaTheme="minorEastAsia" w:cstheme="minorBidi"/>
                <w:kern w:val="2"/>
                <w:sz w:val="24"/>
                <w:szCs w:val="22"/>
                <w:lang w:val="en-US" w:eastAsia="zh-CN" w:bidi="ar-SA"/>
              </w:rPr>
            </w:pPr>
            <w:r>
              <w:rPr>
                <w:rFonts w:hint="eastAsia" w:ascii="宋体" w:hAnsi="宋体" w:eastAsia="宋体" w:cs="宋体"/>
                <w:i w:val="0"/>
                <w:iCs w:val="0"/>
                <w:color w:val="000000"/>
                <w:kern w:val="0"/>
                <w:sz w:val="24"/>
                <w:szCs w:val="24"/>
                <w:u w:val="none"/>
                <w:lang w:val="en-US" w:eastAsia="zh-CN" w:bidi="ar"/>
              </w:rPr>
              <w:t>曲率：平面</w:t>
            </w:r>
          </w:p>
        </w:tc>
      </w:tr>
    </w:tbl>
    <w:p w14:paraId="24D7062E">
      <w:pPr>
        <w:pStyle w:val="84"/>
        <w:ind w:left="0" w:firstLine="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2.2.8网络接入控制系统</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235"/>
        <w:gridCol w:w="7159"/>
      </w:tblGrid>
      <w:tr w14:paraId="2E58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8" w:type="pct"/>
            <w:shd w:val="clear" w:color="auto" w:fill="auto"/>
          </w:tcPr>
          <w:p w14:paraId="3F9614FD">
            <w:pPr>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090" w:type="pct"/>
            <w:shd w:val="clear" w:color="auto" w:fill="auto"/>
          </w:tcPr>
          <w:p w14:paraId="1A75F7A1">
            <w:pPr>
              <w:spacing w:line="360" w:lineRule="auto"/>
              <w:jc w:val="center"/>
              <w:rPr>
                <w:rFonts w:ascii="宋体" w:hAnsi="宋体" w:eastAsia="宋体" w:cs="宋体"/>
                <w:b/>
                <w:bCs/>
                <w:szCs w:val="21"/>
              </w:rPr>
            </w:pPr>
            <w:r>
              <w:rPr>
                <w:rFonts w:hint="eastAsia" w:ascii="宋体" w:hAnsi="宋体" w:eastAsia="宋体" w:cs="宋体"/>
                <w:b/>
                <w:bCs/>
                <w:szCs w:val="21"/>
              </w:rPr>
              <w:t>功能模块</w:t>
            </w:r>
          </w:p>
        </w:tc>
        <w:tc>
          <w:tcPr>
            <w:tcW w:w="3492" w:type="pct"/>
            <w:shd w:val="clear" w:color="auto" w:fill="auto"/>
          </w:tcPr>
          <w:p w14:paraId="04CB29F3">
            <w:pPr>
              <w:spacing w:line="360" w:lineRule="auto"/>
              <w:jc w:val="center"/>
              <w:rPr>
                <w:rFonts w:ascii="宋体" w:hAnsi="宋体" w:eastAsia="宋体" w:cs="宋体"/>
                <w:b/>
                <w:bCs/>
                <w:szCs w:val="21"/>
              </w:rPr>
            </w:pPr>
            <w:r>
              <w:rPr>
                <w:rFonts w:hint="eastAsia" w:ascii="宋体" w:hAnsi="宋体" w:eastAsia="宋体" w:cs="宋体"/>
                <w:b/>
                <w:bCs/>
                <w:szCs w:val="21"/>
              </w:rPr>
              <w:t>技术参数要求</w:t>
            </w:r>
          </w:p>
        </w:tc>
      </w:tr>
      <w:tr w14:paraId="5835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8" w:type="pct"/>
            <w:shd w:val="clear" w:color="auto" w:fill="auto"/>
            <w:vAlign w:val="center"/>
          </w:tcPr>
          <w:p w14:paraId="764FDD0C">
            <w:pPr>
              <w:pStyle w:val="52"/>
              <w:spacing w:line="360" w:lineRule="auto"/>
              <w:ind w:firstLine="0" w:firstLineChars="0"/>
              <w:jc w:val="center"/>
              <w:rPr>
                <w:rFonts w:ascii="宋体" w:hAnsi="宋体" w:cs="宋体"/>
                <w:sz w:val="21"/>
                <w:szCs w:val="21"/>
                <w:lang w:eastAsia="zh-CN"/>
              </w:rPr>
            </w:pPr>
            <w:r>
              <w:rPr>
                <w:rFonts w:hint="eastAsia" w:ascii="宋体" w:hAnsi="宋体" w:cs="宋体"/>
                <w:sz w:val="21"/>
                <w:szCs w:val="21"/>
                <w:lang w:eastAsia="zh-CN"/>
              </w:rPr>
              <w:t>1</w:t>
            </w:r>
          </w:p>
        </w:tc>
        <w:tc>
          <w:tcPr>
            <w:tcW w:w="1090" w:type="pct"/>
            <w:shd w:val="clear" w:color="auto" w:fill="auto"/>
            <w:vAlign w:val="center"/>
          </w:tcPr>
          <w:p w14:paraId="5B32B057">
            <w:pPr>
              <w:widowControl/>
              <w:jc w:val="left"/>
              <w:textAlignment w:val="center"/>
              <w:rPr>
                <w:rFonts w:ascii="宋体" w:hAnsi="宋体" w:eastAsia="宋体" w:cs="宋体"/>
                <w:szCs w:val="21"/>
              </w:rPr>
            </w:pPr>
            <w:r>
              <w:rPr>
                <w:rFonts w:hint="eastAsia" w:ascii="宋体" w:hAnsi="宋体" w:eastAsia="宋体" w:cs="宋体"/>
                <w:szCs w:val="21"/>
              </w:rPr>
              <w:t>服务扩容</w:t>
            </w:r>
          </w:p>
        </w:tc>
        <w:tc>
          <w:tcPr>
            <w:tcW w:w="3492" w:type="pct"/>
            <w:shd w:val="clear" w:color="auto" w:fill="auto"/>
            <w:vAlign w:val="center"/>
          </w:tcPr>
          <w:p w14:paraId="57D3EF32">
            <w:pPr>
              <w:widowControl/>
              <w:jc w:val="left"/>
              <w:textAlignment w:val="center"/>
              <w:rPr>
                <w:rFonts w:ascii="宋体" w:hAnsi="宋体" w:eastAsia="宋体" w:cs="宋体"/>
                <w:szCs w:val="21"/>
              </w:rPr>
            </w:pPr>
            <w:r>
              <w:rPr>
                <w:rFonts w:hint="eastAsia" w:ascii="宋体" w:hAnsi="宋体" w:eastAsia="宋体" w:cs="宋体"/>
                <w:szCs w:val="21"/>
              </w:rPr>
              <w:t>原产品新增一年售后服务，新增500点授权，扩容后2500点授权。</w:t>
            </w:r>
          </w:p>
        </w:tc>
      </w:tr>
      <w:tr w14:paraId="5CD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8" w:type="pct"/>
            <w:shd w:val="clear" w:color="auto" w:fill="auto"/>
            <w:vAlign w:val="center"/>
          </w:tcPr>
          <w:p w14:paraId="1FE0A6F9">
            <w:pPr>
              <w:pStyle w:val="52"/>
              <w:spacing w:line="360" w:lineRule="auto"/>
              <w:ind w:firstLine="0" w:firstLineChars="0"/>
              <w:jc w:val="center"/>
              <w:rPr>
                <w:rFonts w:ascii="宋体" w:hAnsi="宋体" w:cs="宋体"/>
                <w:sz w:val="21"/>
                <w:szCs w:val="21"/>
                <w:lang w:eastAsia="zh-CN"/>
              </w:rPr>
            </w:pPr>
            <w:r>
              <w:rPr>
                <w:rFonts w:hint="eastAsia" w:ascii="宋体" w:hAnsi="宋体" w:cs="宋体"/>
                <w:sz w:val="21"/>
                <w:szCs w:val="21"/>
                <w:lang w:eastAsia="zh-CN"/>
              </w:rPr>
              <w:t>2</w:t>
            </w:r>
          </w:p>
        </w:tc>
        <w:tc>
          <w:tcPr>
            <w:tcW w:w="1090" w:type="pct"/>
            <w:shd w:val="clear" w:color="auto" w:fill="auto"/>
            <w:vAlign w:val="center"/>
          </w:tcPr>
          <w:p w14:paraId="64A16B44">
            <w:pPr>
              <w:widowControl/>
              <w:jc w:val="left"/>
              <w:textAlignment w:val="center"/>
              <w:rPr>
                <w:rFonts w:ascii="宋体" w:hAnsi="宋体" w:eastAsia="宋体" w:cs="宋体"/>
                <w:szCs w:val="21"/>
              </w:rPr>
            </w:pPr>
            <w:r>
              <w:rPr>
                <w:rFonts w:hint="eastAsia" w:ascii="宋体" w:hAnsi="宋体" w:eastAsia="宋体" w:cs="宋体"/>
                <w:szCs w:val="21"/>
              </w:rPr>
              <w:t>原功能新增泛终端管理功能</w:t>
            </w:r>
          </w:p>
        </w:tc>
        <w:tc>
          <w:tcPr>
            <w:tcW w:w="3492" w:type="pct"/>
            <w:shd w:val="clear" w:color="auto" w:fill="auto"/>
            <w:vAlign w:val="center"/>
          </w:tcPr>
          <w:p w14:paraId="5F28C81F">
            <w:pPr>
              <w:outlineLvl w:val="0"/>
              <w:rPr>
                <w:rFonts w:ascii="宋体" w:hAnsi="宋体" w:eastAsia="宋体" w:cs="宋体"/>
                <w:szCs w:val="21"/>
              </w:rPr>
            </w:pPr>
            <w:r>
              <w:rPr>
                <w:rFonts w:hint="eastAsia" w:ascii="宋体" w:hAnsi="宋体" w:eastAsia="宋体" w:cs="宋体"/>
                <w:szCs w:val="21"/>
              </w:rPr>
              <w:t>传统Windows终端的准入，还支持Linux终端、摄像头、国产终端、瘦机终端、移动终端，以及网络打印机，网络摄像头等哑终端的指纹识别准入，并能根据策略分类进行终端准入管理；支持自动识别全网所有接入终端的IP地址、MAC地址、主机名、网卡厂商、终端类型、操作系统、接入位置、接入时间、接入状态，并全网可视化展示。</w:t>
            </w:r>
          </w:p>
        </w:tc>
      </w:tr>
      <w:tr w14:paraId="711D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8" w:type="pct"/>
            <w:shd w:val="clear" w:color="auto" w:fill="auto"/>
            <w:vAlign w:val="center"/>
          </w:tcPr>
          <w:p w14:paraId="13247A97">
            <w:pPr>
              <w:pStyle w:val="52"/>
              <w:spacing w:line="360" w:lineRule="auto"/>
              <w:ind w:firstLine="0" w:firstLineChars="0"/>
              <w:jc w:val="center"/>
              <w:rPr>
                <w:rFonts w:ascii="宋体" w:hAnsi="宋体" w:cs="宋体"/>
                <w:sz w:val="21"/>
                <w:szCs w:val="21"/>
                <w:lang w:eastAsia="zh-CN"/>
              </w:rPr>
            </w:pPr>
            <w:r>
              <w:rPr>
                <w:rFonts w:hint="eastAsia" w:ascii="宋体" w:hAnsi="宋体" w:cs="宋体"/>
                <w:sz w:val="21"/>
                <w:szCs w:val="21"/>
                <w:lang w:eastAsia="zh-CN"/>
              </w:rPr>
              <w:t>3</w:t>
            </w:r>
          </w:p>
        </w:tc>
        <w:tc>
          <w:tcPr>
            <w:tcW w:w="1090" w:type="pct"/>
            <w:shd w:val="clear" w:color="auto" w:fill="auto"/>
            <w:vAlign w:val="center"/>
          </w:tcPr>
          <w:p w14:paraId="572D0158">
            <w:pPr>
              <w:widowControl/>
              <w:jc w:val="left"/>
              <w:textAlignment w:val="center"/>
              <w:rPr>
                <w:rFonts w:ascii="宋体" w:hAnsi="宋体" w:eastAsia="宋体" w:cs="宋体"/>
                <w:szCs w:val="21"/>
              </w:rPr>
            </w:pPr>
            <w:r>
              <w:rPr>
                <w:rFonts w:hint="eastAsia" w:ascii="宋体" w:hAnsi="宋体" w:eastAsia="宋体" w:cs="宋体"/>
                <w:szCs w:val="21"/>
              </w:rPr>
              <w:t>原功能新增</w:t>
            </w:r>
            <w:r>
              <w:rPr>
                <w:rFonts w:hint="eastAsia" w:ascii="宋体" w:hAnsi="宋体" w:eastAsia="宋体" w:cs="宋体"/>
                <w:kern w:val="0"/>
                <w:szCs w:val="21"/>
              </w:rPr>
              <w:t>交换机管理功能</w:t>
            </w:r>
          </w:p>
        </w:tc>
        <w:tc>
          <w:tcPr>
            <w:tcW w:w="3492" w:type="pct"/>
            <w:shd w:val="clear" w:color="auto" w:fill="auto"/>
            <w:vAlign w:val="center"/>
          </w:tcPr>
          <w:p w14:paraId="2DA798E4">
            <w:pPr>
              <w:widowControl/>
              <w:spacing w:before="156" w:beforeLines="50" w:after="156" w:afterLines="50"/>
              <w:jc w:val="left"/>
              <w:rPr>
                <w:rFonts w:ascii="宋体" w:hAnsi="宋体" w:eastAsia="宋体" w:cs="宋体"/>
                <w:szCs w:val="21"/>
              </w:rPr>
            </w:pPr>
            <w:r>
              <w:rPr>
                <w:rFonts w:hint="eastAsia" w:ascii="宋体" w:hAnsi="宋体" w:eastAsia="宋体" w:cs="宋体"/>
                <w:kern w:val="0"/>
                <w:szCs w:val="21"/>
              </w:rPr>
              <w:t>支持通过SNMP、TELNET、SSH等方式管理交换机，并将厂商、型号、管理地址、端口数，提供图形化展示；支持根据接入交换机的端口的链路状态确定所有终端设备的真实接入位置，并且可以进一步感知终端设备连接关系的动态变化；支持SNMP、TELNET模板管理；支持IP地址的使用状态、在线状态、准入状态统计；图形化展示全网IP地址使用情况、在线状态；支持与IP地址管理平台联动，展示平台工单分配的IP地址信息，并可对终端进行放行或阻断；支持IP地址的分配、回收状态与准入的联动控制管理。</w:t>
            </w:r>
          </w:p>
        </w:tc>
      </w:tr>
      <w:tr w14:paraId="3062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8" w:type="pct"/>
            <w:shd w:val="clear" w:color="auto" w:fill="auto"/>
            <w:vAlign w:val="center"/>
          </w:tcPr>
          <w:p w14:paraId="29C55F5A">
            <w:pPr>
              <w:pStyle w:val="52"/>
              <w:spacing w:line="360" w:lineRule="auto"/>
              <w:ind w:firstLine="0" w:firstLineChars="0"/>
              <w:jc w:val="center"/>
              <w:rPr>
                <w:rFonts w:ascii="宋体" w:hAnsi="宋体" w:cs="宋体"/>
                <w:sz w:val="21"/>
                <w:szCs w:val="21"/>
                <w:lang w:eastAsia="zh-CN"/>
              </w:rPr>
            </w:pPr>
            <w:r>
              <w:rPr>
                <w:rFonts w:hint="eastAsia" w:ascii="宋体" w:hAnsi="宋体" w:cs="宋体"/>
                <w:sz w:val="21"/>
                <w:szCs w:val="21"/>
                <w:lang w:eastAsia="zh-CN"/>
              </w:rPr>
              <w:t>4</w:t>
            </w:r>
          </w:p>
        </w:tc>
        <w:tc>
          <w:tcPr>
            <w:tcW w:w="1090" w:type="pct"/>
            <w:shd w:val="clear" w:color="auto" w:fill="auto"/>
            <w:vAlign w:val="center"/>
          </w:tcPr>
          <w:p w14:paraId="29188C10">
            <w:pPr>
              <w:widowControl/>
              <w:jc w:val="left"/>
              <w:textAlignment w:val="center"/>
              <w:rPr>
                <w:rFonts w:ascii="宋体" w:hAnsi="宋体" w:eastAsia="宋体" w:cs="宋体"/>
                <w:szCs w:val="21"/>
              </w:rPr>
            </w:pPr>
            <w:r>
              <w:rPr>
                <w:rFonts w:hint="eastAsia" w:ascii="宋体" w:hAnsi="宋体" w:eastAsia="宋体" w:cs="宋体"/>
                <w:szCs w:val="21"/>
              </w:rPr>
              <w:t>管理范围</w:t>
            </w:r>
          </w:p>
        </w:tc>
        <w:tc>
          <w:tcPr>
            <w:tcW w:w="3492" w:type="pct"/>
            <w:shd w:val="clear" w:color="auto" w:fill="auto"/>
            <w:vAlign w:val="center"/>
          </w:tcPr>
          <w:p w14:paraId="0251C4E3">
            <w:pPr>
              <w:widowControl/>
              <w:jc w:val="left"/>
              <w:textAlignment w:val="center"/>
              <w:rPr>
                <w:rFonts w:ascii="宋体" w:hAnsi="宋体" w:eastAsia="宋体" w:cs="宋体"/>
                <w:szCs w:val="21"/>
              </w:rPr>
            </w:pPr>
            <w:r>
              <w:rPr>
                <w:rFonts w:hint="eastAsia" w:ascii="宋体" w:hAnsi="宋体" w:eastAsia="宋体" w:cs="宋体"/>
                <w:szCs w:val="21"/>
              </w:rPr>
              <w:t>支持来宾访客、远程桌面、自动播放、防火墙、弱口令、地址获取方式、共享资源、自动更新、系统多账号、系统冗余账号、计算机名称、终端运行时间、系统漏洞、密码策略、计算机加域、屏幕保护、多操作系统、虚拟操作系统、操作系统版本、浏览器主页、浏览器代理、杀毒软件、病毒库版本、注册表、Office正版、IE浏览器版本、软件安装、进程运行、服务运行、启动项、违规外联、端口开放、终端流量、无线网卡、多网卡、随身WIFI等三十余种安检项。</w:t>
            </w:r>
          </w:p>
        </w:tc>
      </w:tr>
    </w:tbl>
    <w:p w14:paraId="7E9E7693">
      <w:pPr>
        <w:pStyle w:val="85"/>
        <w:spacing w:before="46" w:after="46"/>
        <w:ind w:firstLine="420"/>
      </w:pPr>
    </w:p>
    <w:p w14:paraId="05FCE540">
      <w:pPr>
        <w:pStyle w:val="2"/>
      </w:pPr>
      <w:r>
        <w:rPr>
          <w:rFonts w:hint="eastAsia"/>
        </w:rPr>
        <w:t>第三</w:t>
      </w:r>
      <w:r>
        <w:rPr>
          <w:rFonts w:hint="eastAsia"/>
          <w:lang w:val="en-US" w:eastAsia="zh-CN"/>
        </w:rPr>
        <w:t>篇</w:t>
      </w:r>
      <w:r>
        <w:rPr>
          <w:rFonts w:hint="eastAsia"/>
        </w:rPr>
        <w:t>实施及售后服务要求</w:t>
      </w:r>
    </w:p>
    <w:p w14:paraId="713FB664">
      <w:pPr>
        <w:pStyle w:val="81"/>
        <w:spacing w:line="360" w:lineRule="auto"/>
        <w:ind w:right="0" w:rightChars="0" w:firstLine="56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、实施基本要求</w:t>
      </w:r>
    </w:p>
    <w:p w14:paraId="7C9CB49F">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鉴于软件系统实施的复杂性，中标人必须逐条予以响应。</w:t>
      </w:r>
    </w:p>
    <w:p w14:paraId="6B9EA2B2">
      <w:pPr>
        <w:pStyle w:val="81"/>
        <w:numPr>
          <w:ilvl w:val="0"/>
          <w:numId w:val="6"/>
        </w:numPr>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根据项目内容，提供详细的实施方案，包括实施团队的人员安排，培训计划，质量保证措施等。</w:t>
      </w:r>
    </w:p>
    <w:p w14:paraId="12C9C2A1">
      <w:pPr>
        <w:pStyle w:val="81"/>
        <w:spacing w:line="360" w:lineRule="auto"/>
        <w:ind w:left="560" w:right="0" w:rightChars="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（2）项目人员要求：中标人实行项目总负责人制，在项目验收前，不得随意更换，如更换，须事先征得招标人同意。</w:t>
      </w:r>
    </w:p>
    <w:p w14:paraId="2BB0D419">
      <w:pPr>
        <w:pStyle w:val="81"/>
        <w:spacing w:line="360" w:lineRule="auto"/>
        <w:ind w:left="560" w:right="0" w:rightChars="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（3）项目实施中，由招标方经常性的召集现场协调会，中标人项目总负责人、各子系统技术负责人必须到场，进行沟通、协调及裁决，并形成书面备忘，项目总负责人签章并执行，不得以任何理由推诿。</w:t>
      </w:r>
    </w:p>
    <w:p w14:paraId="11085BE9">
      <w:pPr>
        <w:pStyle w:val="81"/>
        <w:spacing w:line="360" w:lineRule="auto"/>
        <w:ind w:right="0" w:rightChars="0" w:firstLine="56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、进度计划及控制</w:t>
      </w:r>
    </w:p>
    <w:p w14:paraId="11929F3B">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合同履行期限：</w:t>
      </w:r>
      <w:r>
        <w:rPr>
          <w:rFonts w:hint="eastAsia" w:asciiTheme="minorEastAsia" w:hAnsiTheme="minorEastAsia" w:eastAsiaTheme="minorEastAsia"/>
          <w:sz w:val="28"/>
          <w:szCs w:val="28"/>
          <w:lang w:val="en-US" w:eastAsia="zh-CN"/>
        </w:rPr>
        <w:t>30日历天内供货安装调试完毕</w:t>
      </w:r>
      <w:r>
        <w:rPr>
          <w:rFonts w:hint="eastAsia" w:asciiTheme="minorEastAsia" w:hAnsiTheme="minorEastAsia" w:eastAsiaTheme="minorEastAsia"/>
          <w:sz w:val="28"/>
          <w:szCs w:val="28"/>
        </w:rPr>
        <w:t>。</w:t>
      </w:r>
    </w:p>
    <w:p w14:paraId="01369056">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中标方应按照招标人的实施工期要求，列出详细的进度计划，科学合理并可执行。</w:t>
      </w:r>
    </w:p>
    <w:p w14:paraId="41563B3C">
      <w:pPr>
        <w:pStyle w:val="81"/>
        <w:spacing w:line="360" w:lineRule="auto"/>
        <w:ind w:right="0" w:rightChars="0" w:firstLine="56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、售后服务要求</w:t>
      </w:r>
    </w:p>
    <w:p w14:paraId="61A12E56">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（1）免费服务时间及免费服务期过后的收费标准</w:t>
      </w:r>
    </w:p>
    <w:p w14:paraId="6DF88F7A">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投标人须提供自软件系统验收之日起，提供1年</w:t>
      </w:r>
      <w:r>
        <w:rPr>
          <w:rFonts w:asciiTheme="minorEastAsia" w:hAnsiTheme="minorEastAsia" w:eastAsiaTheme="minorEastAsia"/>
          <w:sz w:val="28"/>
          <w:szCs w:val="28"/>
        </w:rPr>
        <w:t>的</w:t>
      </w:r>
      <w:r>
        <w:rPr>
          <w:rFonts w:hint="eastAsia" w:asciiTheme="minorEastAsia" w:hAnsiTheme="minorEastAsia" w:eastAsiaTheme="minorEastAsia"/>
          <w:sz w:val="28"/>
          <w:szCs w:val="28"/>
        </w:rPr>
        <w:t>免费质保服务；免费售后服务期满后的年售后服务费用，按年进行单独报价。</w:t>
      </w:r>
    </w:p>
    <w:p w14:paraId="38B8BAE0">
      <w:pPr>
        <w:pStyle w:val="81"/>
        <w:spacing w:line="360" w:lineRule="auto"/>
        <w:ind w:right="0" w:rightChars="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（2）服务响应时间</w:t>
      </w:r>
    </w:p>
    <w:p w14:paraId="19CB392A">
      <w:pPr>
        <w:pStyle w:val="81"/>
        <w:spacing w:line="360" w:lineRule="auto"/>
        <w:ind w:right="0" w:rightChars="0" w:firstLine="560"/>
        <w:rPr>
          <w:rFonts w:asciiTheme="minorEastAsia" w:hAnsiTheme="minorEastAsia" w:eastAsiaTheme="minorEastAsia" w:cstheme="minorEastAsia"/>
          <w:sz w:val="28"/>
          <w:szCs w:val="28"/>
        </w:rPr>
      </w:pPr>
      <w:r>
        <w:rPr>
          <w:rFonts w:hint="eastAsia" w:asciiTheme="minorEastAsia" w:hAnsiTheme="minorEastAsia" w:eastAsiaTheme="minorEastAsia"/>
          <w:sz w:val="28"/>
          <w:szCs w:val="28"/>
        </w:rPr>
        <w:t>投标人须提供</w:t>
      </w:r>
      <w:r>
        <w:rPr>
          <w:rFonts w:asciiTheme="minorEastAsia" w:hAnsiTheme="minorEastAsia" w:eastAsiaTheme="minorEastAsia"/>
          <w:sz w:val="28"/>
          <w:szCs w:val="28"/>
        </w:rPr>
        <w:t>7</w:t>
      </w:r>
      <w:r>
        <w:rPr>
          <w:rFonts w:hint="eastAsia" w:asciiTheme="minorEastAsia" w:hAnsiTheme="minorEastAsia" w:eastAsiaTheme="minorEastAsia"/>
          <w:sz w:val="28"/>
          <w:szCs w:val="28"/>
        </w:rPr>
        <w:t>×24小时支持维护服务。</w:t>
      </w:r>
      <w:r>
        <w:rPr>
          <w:rFonts w:hint="eastAsia" w:asciiTheme="minorEastAsia" w:hAnsiTheme="minorEastAsia" w:eastAsiaTheme="minorEastAsia" w:cstheme="minorEastAsia"/>
          <w:sz w:val="28"/>
          <w:szCs w:val="28"/>
        </w:rPr>
        <w:t>对于</w:t>
      </w:r>
      <w:r>
        <w:rPr>
          <w:rFonts w:asciiTheme="minorEastAsia" w:hAnsiTheme="minorEastAsia" w:eastAsiaTheme="minorEastAsia" w:cstheme="minorEastAsia"/>
          <w:sz w:val="28"/>
          <w:szCs w:val="28"/>
        </w:rPr>
        <w:t>一般服务请求，</w:t>
      </w:r>
      <w:r>
        <w:rPr>
          <w:rFonts w:hint="eastAsia" w:asciiTheme="minorEastAsia" w:hAnsiTheme="minorEastAsia" w:eastAsiaTheme="minorEastAsia" w:cstheme="minorEastAsia"/>
          <w:sz w:val="28"/>
          <w:szCs w:val="28"/>
        </w:rPr>
        <w:t>要求投标人响应</w:t>
      </w:r>
      <w:r>
        <w:rPr>
          <w:rFonts w:asciiTheme="minorEastAsia" w:hAnsiTheme="minorEastAsia" w:eastAsiaTheme="minorEastAsia" w:cstheme="minorEastAsia"/>
          <w:sz w:val="28"/>
          <w:szCs w:val="28"/>
        </w:rPr>
        <w:t>时间为1</w:t>
      </w:r>
      <w:r>
        <w:rPr>
          <w:rFonts w:hint="eastAsia" w:asciiTheme="minorEastAsia" w:hAnsiTheme="minorEastAsia" w:eastAsiaTheme="minorEastAsia" w:cstheme="minorEastAsia"/>
          <w:sz w:val="28"/>
          <w:szCs w:val="28"/>
        </w:rPr>
        <w:t>小时</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确保</w:t>
      </w:r>
      <w:r>
        <w:rPr>
          <w:rFonts w:asciiTheme="minorEastAsia" w:hAnsiTheme="minorEastAsia" w:eastAsiaTheme="minorEastAsia" w:cstheme="minorEastAsia"/>
          <w:sz w:val="28"/>
          <w:szCs w:val="28"/>
        </w:rPr>
        <w:t>在</w:t>
      </w:r>
      <w:r>
        <w:rPr>
          <w:rFonts w:hint="eastAsia" w:asciiTheme="minorEastAsia" w:hAnsiTheme="minorEastAsia" w:eastAsiaTheme="minorEastAsia" w:cstheme="minorEastAsia"/>
          <w:sz w:val="28"/>
          <w:szCs w:val="28"/>
        </w:rPr>
        <w:t>24小时</w:t>
      </w:r>
      <w:r>
        <w:rPr>
          <w:rFonts w:asciiTheme="minorEastAsia" w:hAnsiTheme="minorEastAsia" w:eastAsiaTheme="minorEastAsia" w:cstheme="minorEastAsia"/>
          <w:sz w:val="28"/>
          <w:szCs w:val="28"/>
        </w:rPr>
        <w:t>以内解决问题，并告知处理结果</w:t>
      </w:r>
      <w:r>
        <w:rPr>
          <w:rFonts w:hint="eastAsia" w:asciiTheme="minorEastAsia" w:hAnsiTheme="minorEastAsia" w:eastAsiaTheme="minorEastAsia" w:cstheme="minorEastAsia"/>
          <w:sz w:val="28"/>
          <w:szCs w:val="28"/>
        </w:rPr>
        <w:t>；对影响</w:t>
      </w:r>
      <w:r>
        <w:rPr>
          <w:rFonts w:asciiTheme="minorEastAsia" w:hAnsiTheme="minorEastAsia" w:eastAsiaTheme="minorEastAsia" w:cstheme="minorEastAsia"/>
          <w:sz w:val="28"/>
          <w:szCs w:val="28"/>
        </w:rPr>
        <w:t>医院业务</w:t>
      </w:r>
      <w:r>
        <w:rPr>
          <w:rFonts w:hint="eastAsia" w:asciiTheme="minorEastAsia" w:hAnsiTheme="minorEastAsia" w:eastAsiaTheme="minorEastAsia" w:cstheme="minorEastAsia"/>
          <w:sz w:val="28"/>
          <w:szCs w:val="28"/>
        </w:rPr>
        <w:t>进展</w:t>
      </w:r>
      <w:r>
        <w:rPr>
          <w:rFonts w:asciiTheme="minorEastAsia" w:hAnsiTheme="minorEastAsia" w:eastAsiaTheme="minorEastAsia" w:cstheme="minorEastAsia"/>
          <w:sz w:val="28"/>
          <w:szCs w:val="28"/>
        </w:rPr>
        <w:t>的紧急服务请求，</w:t>
      </w:r>
      <w:r>
        <w:rPr>
          <w:rFonts w:hint="eastAsia" w:asciiTheme="minorEastAsia" w:hAnsiTheme="minorEastAsia" w:eastAsiaTheme="minorEastAsia" w:cstheme="minorEastAsia"/>
          <w:sz w:val="28"/>
          <w:szCs w:val="28"/>
        </w:rPr>
        <w:t>要求投标人响应</w:t>
      </w:r>
      <w:r>
        <w:rPr>
          <w:rFonts w:asciiTheme="minorEastAsia" w:hAnsiTheme="minorEastAsia" w:eastAsiaTheme="minorEastAsia" w:cstheme="minorEastAsia"/>
          <w:sz w:val="28"/>
          <w:szCs w:val="28"/>
        </w:rPr>
        <w:t>时间为0.5</w:t>
      </w:r>
      <w:r>
        <w:rPr>
          <w:rFonts w:hint="eastAsia" w:asciiTheme="minorEastAsia" w:hAnsiTheme="minorEastAsia" w:eastAsiaTheme="minorEastAsia" w:cstheme="minorEastAsia"/>
          <w:sz w:val="28"/>
          <w:szCs w:val="28"/>
        </w:rPr>
        <w:t>小时</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2小时到达</w:t>
      </w:r>
      <w:r>
        <w:rPr>
          <w:rFonts w:asciiTheme="minorEastAsia" w:hAnsiTheme="minorEastAsia" w:eastAsiaTheme="minorEastAsia" w:cstheme="minorEastAsia"/>
          <w:sz w:val="28"/>
          <w:szCs w:val="28"/>
        </w:rPr>
        <w:t>现场，</w:t>
      </w:r>
      <w:r>
        <w:rPr>
          <w:rFonts w:hint="eastAsia" w:asciiTheme="minorEastAsia" w:hAnsiTheme="minorEastAsia" w:eastAsiaTheme="minorEastAsia" w:cstheme="minorEastAsia"/>
          <w:sz w:val="28"/>
          <w:szCs w:val="28"/>
        </w:rPr>
        <w:t>8小时</w:t>
      </w:r>
      <w:r>
        <w:rPr>
          <w:rFonts w:asciiTheme="minorEastAsia" w:hAnsiTheme="minorEastAsia" w:eastAsiaTheme="minorEastAsia" w:cstheme="minorEastAsia"/>
          <w:sz w:val="28"/>
          <w:szCs w:val="28"/>
        </w:rPr>
        <w:t>解决问题，并告知处理结果。</w:t>
      </w:r>
    </w:p>
    <w:p w14:paraId="0C0C6300">
      <w:pPr>
        <w:pStyle w:val="81"/>
        <w:spacing w:line="360" w:lineRule="auto"/>
        <w:ind w:right="0" w:rightChars="0" w:firstLine="560"/>
        <w:rPr>
          <w:sz w:val="28"/>
          <w:szCs w:val="28"/>
        </w:rPr>
      </w:pPr>
      <w:r>
        <w:rPr>
          <w:rFonts w:hint="eastAsia"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rPr>
        <w:t>价格</w:t>
      </w:r>
      <w:r>
        <w:rPr>
          <w:rFonts w:asciiTheme="minorEastAsia" w:hAnsiTheme="minorEastAsia" w:eastAsiaTheme="minorEastAsia" w:cstheme="minorEastAsia"/>
          <w:sz w:val="28"/>
          <w:szCs w:val="28"/>
        </w:rPr>
        <w:t>包含和</w:t>
      </w:r>
      <w:r>
        <w:rPr>
          <w:rFonts w:hint="eastAsia" w:asciiTheme="minorEastAsia" w:hAnsiTheme="minorEastAsia" w:eastAsiaTheme="minorEastAsia" w:cstheme="minorEastAsia"/>
          <w:sz w:val="28"/>
          <w:szCs w:val="28"/>
        </w:rPr>
        <w:t>登封市人民</w:t>
      </w:r>
      <w:r>
        <w:rPr>
          <w:rFonts w:asciiTheme="minorEastAsia" w:hAnsiTheme="minorEastAsia" w:eastAsiaTheme="minorEastAsia" w:cstheme="minorEastAsia"/>
          <w:sz w:val="28"/>
          <w:szCs w:val="28"/>
        </w:rPr>
        <w:t>医院系统</w:t>
      </w:r>
      <w:r>
        <w:rPr>
          <w:rFonts w:hint="eastAsia" w:asciiTheme="minorEastAsia" w:hAnsiTheme="minorEastAsia" w:eastAsiaTheme="minorEastAsia" w:cstheme="minorEastAsia"/>
          <w:sz w:val="28"/>
          <w:szCs w:val="28"/>
        </w:rPr>
        <w:t>信息系统的一体化应用及数据互通共享要求的系统</w:t>
      </w:r>
      <w:r>
        <w:rPr>
          <w:rFonts w:asciiTheme="minorEastAsia" w:hAnsiTheme="minorEastAsia" w:eastAsiaTheme="minorEastAsia" w:cstheme="minorEastAsia"/>
          <w:sz w:val="28"/>
          <w:szCs w:val="28"/>
        </w:rPr>
        <w:t>修改</w:t>
      </w:r>
      <w:r>
        <w:rPr>
          <w:rFonts w:hint="eastAsia" w:asciiTheme="minorEastAsia" w:hAnsiTheme="minorEastAsia" w:eastAsiaTheme="minorEastAsia" w:cstheme="minorEastAsia"/>
          <w:sz w:val="28"/>
          <w:szCs w:val="28"/>
        </w:rPr>
        <w:t>及双方</w:t>
      </w:r>
      <w:r>
        <w:rPr>
          <w:rFonts w:asciiTheme="minorEastAsia" w:hAnsiTheme="minorEastAsia" w:eastAsiaTheme="minorEastAsia" w:cstheme="minorEastAsia"/>
          <w:sz w:val="28"/>
          <w:szCs w:val="28"/>
        </w:rPr>
        <w:t>对接费用，</w:t>
      </w:r>
      <w:r>
        <w:rPr>
          <w:rFonts w:hint="eastAsia" w:asciiTheme="minorEastAsia" w:hAnsiTheme="minorEastAsia" w:eastAsiaTheme="minorEastAsia" w:cstheme="minorEastAsia"/>
          <w:sz w:val="28"/>
          <w:szCs w:val="28"/>
        </w:rPr>
        <w:t>采购方</w:t>
      </w:r>
      <w:r>
        <w:rPr>
          <w:rFonts w:asciiTheme="minorEastAsia" w:hAnsiTheme="minorEastAsia" w:eastAsiaTheme="minorEastAsia" w:cstheme="minorEastAsia"/>
          <w:sz w:val="28"/>
          <w:szCs w:val="28"/>
        </w:rPr>
        <w:t>不再出任何费用。</w:t>
      </w:r>
    </w:p>
    <w:p w14:paraId="7C139281">
      <w:pPr>
        <w:rPr>
          <w:rFonts w:hint="default" w:eastAsiaTheme="minorEastAsia"/>
          <w:lang w:val="en-US" w:eastAsia="zh-CN"/>
        </w:rPr>
      </w:pPr>
    </w:p>
    <w:p w14:paraId="71290723">
      <w:pPr>
        <w:widowControl w:val="0"/>
        <w:numPr>
          <w:ilvl w:val="0"/>
          <w:numId w:val="0"/>
        </w:numPr>
        <w:jc w:val="both"/>
        <w:rPr>
          <w:rFonts w:hint="default"/>
          <w:lang w:val="en-US" w:eastAsia="zh-CN"/>
        </w:rPr>
      </w:pPr>
    </w:p>
    <w:p w14:paraId="6F783D84">
      <w:pPr>
        <w:rPr>
          <w:rFonts w:hint="default" w:eastAsiaTheme="minorEastAsia"/>
          <w:lang w:val="en-US" w:eastAsia="zh-CN"/>
        </w:rPr>
      </w:pPr>
    </w:p>
    <w:p w14:paraId="5289BB06">
      <w:pPr>
        <w:pStyle w:val="52"/>
        <w:rPr>
          <w:color w:val="auto"/>
          <w:highlight w:val="none"/>
        </w:rPr>
      </w:pPr>
    </w:p>
    <w:p w14:paraId="212688D5">
      <w:pPr>
        <w:pStyle w:val="52"/>
        <w:rPr>
          <w:color w:val="auto"/>
          <w:highlight w:val="none"/>
        </w:rPr>
      </w:pPr>
    </w:p>
    <w:p w14:paraId="12A89E97">
      <w:pPr>
        <w:pStyle w:val="52"/>
        <w:rPr>
          <w:color w:val="auto"/>
          <w:highlight w:val="none"/>
        </w:rPr>
      </w:pPr>
    </w:p>
    <w:p w14:paraId="25E5C885">
      <w:pPr>
        <w:pStyle w:val="52"/>
        <w:rPr>
          <w:color w:val="auto"/>
          <w:highlight w:val="none"/>
        </w:rPr>
      </w:pPr>
    </w:p>
    <w:p w14:paraId="2FEEE49C">
      <w:pPr>
        <w:pStyle w:val="52"/>
        <w:rPr>
          <w:color w:val="auto"/>
          <w:highlight w:val="none"/>
        </w:rPr>
      </w:pPr>
    </w:p>
    <w:p w14:paraId="7437DA05">
      <w:pPr>
        <w:pStyle w:val="52"/>
        <w:rPr>
          <w:color w:val="auto"/>
          <w:highlight w:val="none"/>
        </w:rPr>
      </w:pPr>
    </w:p>
    <w:p w14:paraId="785E8708">
      <w:pPr>
        <w:pStyle w:val="52"/>
        <w:rPr>
          <w:color w:val="auto"/>
          <w:highlight w:val="none"/>
        </w:rPr>
      </w:pPr>
    </w:p>
    <w:p w14:paraId="409F0217">
      <w:pPr>
        <w:pStyle w:val="52"/>
        <w:rPr>
          <w:color w:val="auto"/>
          <w:highlight w:val="none"/>
        </w:rPr>
      </w:pPr>
    </w:p>
    <w:p w14:paraId="1EBB123E">
      <w:pPr>
        <w:pStyle w:val="52"/>
        <w:rPr>
          <w:color w:val="auto"/>
          <w:highlight w:val="none"/>
        </w:rPr>
      </w:pPr>
    </w:p>
    <w:p w14:paraId="72CFC9AD">
      <w:pPr>
        <w:pStyle w:val="52"/>
        <w:rPr>
          <w:color w:val="auto"/>
          <w:highlight w:val="none"/>
        </w:rPr>
      </w:pPr>
    </w:p>
    <w:p w14:paraId="4912C8E6">
      <w:pPr>
        <w:pStyle w:val="52"/>
        <w:rPr>
          <w:color w:val="auto"/>
          <w:highlight w:val="none"/>
        </w:rPr>
      </w:pPr>
    </w:p>
    <w:p w14:paraId="29A879A8">
      <w:pPr>
        <w:pStyle w:val="52"/>
        <w:rPr>
          <w:color w:val="auto"/>
          <w:highlight w:val="none"/>
        </w:rPr>
      </w:pPr>
    </w:p>
    <w:p w14:paraId="5841B816">
      <w:pPr>
        <w:pStyle w:val="52"/>
        <w:rPr>
          <w:color w:val="auto"/>
          <w:highlight w:val="none"/>
        </w:rPr>
      </w:pPr>
    </w:p>
    <w:p w14:paraId="7B3F3B16">
      <w:pPr>
        <w:pStyle w:val="52"/>
        <w:rPr>
          <w:color w:val="auto"/>
          <w:highlight w:val="none"/>
        </w:rPr>
      </w:pPr>
    </w:p>
    <w:p w14:paraId="2DCB24D7">
      <w:pPr>
        <w:pStyle w:val="52"/>
        <w:rPr>
          <w:color w:val="auto"/>
          <w:highlight w:val="none"/>
        </w:rPr>
      </w:pPr>
    </w:p>
    <w:p w14:paraId="78C67E49">
      <w:pPr>
        <w:pStyle w:val="52"/>
        <w:ind w:left="0" w:leftChars="0" w:firstLine="0" w:firstLineChars="0"/>
        <w:rPr>
          <w:color w:val="auto"/>
          <w:highlight w:val="none"/>
        </w:rPr>
      </w:pPr>
    </w:p>
    <w:p w14:paraId="028F60AB">
      <w:pPr>
        <w:pStyle w:val="52"/>
        <w:rPr>
          <w:color w:val="auto"/>
          <w:highlight w:val="none"/>
        </w:rPr>
      </w:pPr>
    </w:p>
    <w:p w14:paraId="419B2E6C">
      <w:pPr>
        <w:pStyle w:val="52"/>
        <w:rPr>
          <w:color w:val="auto"/>
          <w:highlight w:val="none"/>
        </w:rPr>
      </w:pPr>
    </w:p>
    <w:p w14:paraId="395BE616">
      <w:pPr>
        <w:pStyle w:val="2"/>
        <w:numPr>
          <w:ilvl w:val="0"/>
          <w:numId w:val="7"/>
        </w:numPr>
        <w:spacing w:before="0"/>
        <w:rPr>
          <w:b/>
          <w:bCs/>
          <w:color w:val="auto"/>
          <w:sz w:val="32"/>
          <w:szCs w:val="32"/>
          <w:highlight w:val="none"/>
        </w:rPr>
      </w:pPr>
      <w:bookmarkStart w:id="154" w:name="_Toc317669236"/>
      <w:bookmarkStart w:id="155" w:name="_Toc26084"/>
      <w:bookmarkStart w:id="156" w:name="_Toc192386642"/>
      <w:r>
        <w:rPr>
          <w:rFonts w:hint="eastAsia"/>
          <w:b/>
          <w:bCs/>
          <w:color w:val="auto"/>
          <w:sz w:val="32"/>
          <w:szCs w:val="32"/>
          <w:highlight w:val="none"/>
          <w:lang w:val="en-US" w:eastAsia="zh-CN"/>
        </w:rPr>
        <w:t xml:space="preserve"> </w:t>
      </w:r>
      <w:r>
        <w:rPr>
          <w:rFonts w:hint="eastAsia"/>
          <w:b/>
          <w:bCs/>
          <w:color w:val="auto"/>
          <w:sz w:val="32"/>
          <w:szCs w:val="32"/>
          <w:highlight w:val="none"/>
        </w:rPr>
        <w:t>投标文件格式</w:t>
      </w:r>
      <w:bookmarkEnd w:id="154"/>
      <w:bookmarkEnd w:id="155"/>
      <w:bookmarkEnd w:id="156"/>
    </w:p>
    <w:p w14:paraId="5631EE43">
      <w:pPr>
        <w:spacing w:line="360" w:lineRule="auto"/>
        <w:rPr>
          <w:rFonts w:ascii="宋体" w:hAnsi="宋体" w:cs="宋体"/>
          <w:color w:val="auto"/>
          <w:sz w:val="24"/>
          <w:szCs w:val="24"/>
          <w:highlight w:val="none"/>
        </w:rPr>
      </w:pPr>
      <w:bookmarkStart w:id="157" w:name="_Toc192386663"/>
    </w:p>
    <w:p w14:paraId="7FB129B4">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A6292A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（投标文件封面）                     </w:t>
      </w:r>
    </w:p>
    <w:p w14:paraId="1193E542">
      <w:pPr>
        <w:spacing w:line="360" w:lineRule="auto"/>
        <w:rPr>
          <w:rFonts w:ascii="宋体" w:hAnsi="宋体" w:cs="宋体"/>
          <w:color w:val="auto"/>
          <w:sz w:val="32"/>
          <w:szCs w:val="32"/>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 xml:space="preserve">     </w:t>
      </w:r>
    </w:p>
    <w:p w14:paraId="0FB4FF4A">
      <w:pPr>
        <w:pStyle w:val="20"/>
        <w:spacing w:line="600" w:lineRule="auto"/>
        <w:jc w:val="center"/>
        <w:rPr>
          <w:rFonts w:hint="eastAsia" w:ascii="仿宋" w:hAnsi="仿宋" w:eastAsia="仿宋" w:cs="仿宋"/>
          <w:b/>
          <w:bCs w:val="0"/>
          <w:color w:val="auto"/>
          <w:sz w:val="44"/>
          <w:szCs w:val="18"/>
          <w:highlight w:val="none"/>
          <w:lang w:val="en-US" w:eastAsia="zh-CN"/>
        </w:rPr>
      </w:pPr>
      <w:r>
        <w:rPr>
          <w:rFonts w:hint="eastAsia" w:ascii="仿宋" w:hAnsi="仿宋" w:eastAsia="仿宋" w:cs="仿宋"/>
          <w:b/>
          <w:bCs w:val="0"/>
          <w:color w:val="auto"/>
          <w:sz w:val="44"/>
          <w:szCs w:val="18"/>
          <w:highlight w:val="none"/>
          <w:lang w:val="en-US" w:eastAsia="zh-CN"/>
        </w:rPr>
        <w:t>登封市人民中医院信息化建设项目采购方案（二期）</w:t>
      </w:r>
    </w:p>
    <w:p w14:paraId="447D3072">
      <w:pPr>
        <w:spacing w:line="360" w:lineRule="auto"/>
        <w:jc w:val="center"/>
        <w:rPr>
          <w:rFonts w:hint="default" w:eastAsia="宋体"/>
          <w:color w:val="auto"/>
          <w:highlight w:val="none"/>
          <w:u w:val="none"/>
          <w:lang w:val="en-US" w:eastAsia="zh-CN"/>
        </w:rPr>
      </w:pPr>
    </w:p>
    <w:p w14:paraId="1FCF325E">
      <w:pPr>
        <w:pStyle w:val="52"/>
        <w:rPr>
          <w:color w:val="auto"/>
          <w:highlight w:val="none"/>
        </w:rPr>
      </w:pPr>
    </w:p>
    <w:p w14:paraId="62EA0F97">
      <w:pPr>
        <w:pStyle w:val="52"/>
        <w:rPr>
          <w:color w:val="auto"/>
          <w:highlight w:val="none"/>
        </w:rPr>
      </w:pPr>
    </w:p>
    <w:p w14:paraId="1817777E">
      <w:pPr>
        <w:pStyle w:val="52"/>
        <w:rPr>
          <w:color w:val="auto"/>
          <w:highlight w:val="none"/>
        </w:rPr>
      </w:pPr>
    </w:p>
    <w:p w14:paraId="7C8CC343">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投 标 文 件</w:t>
      </w:r>
    </w:p>
    <w:p w14:paraId="4BD4FAD4">
      <w:pPr>
        <w:spacing w:line="360" w:lineRule="auto"/>
        <w:jc w:val="center"/>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 xml:space="preserve"> </w:t>
      </w:r>
    </w:p>
    <w:p w14:paraId="0547E833">
      <w:pPr>
        <w:spacing w:line="360" w:lineRule="auto"/>
        <w:jc w:val="center"/>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项目</w:t>
      </w:r>
      <w:r>
        <w:rPr>
          <w:rFonts w:hint="eastAsia" w:ascii="宋体" w:hAnsi="宋体"/>
          <w:color w:val="auto"/>
          <w:sz w:val="28"/>
          <w:szCs w:val="28"/>
          <w:highlight w:val="none"/>
        </w:rPr>
        <w:t xml:space="preserve">编号: </w:t>
      </w:r>
      <w:r>
        <w:rPr>
          <w:rFonts w:hint="eastAsia" w:ascii="宋体" w:hAnsi="宋体"/>
          <w:color w:val="auto"/>
          <w:sz w:val="28"/>
          <w:szCs w:val="28"/>
          <w:highlight w:val="none"/>
          <w:lang w:val="en-US" w:eastAsia="zh-CN"/>
        </w:rPr>
        <w:t>登封采购-2024-171</w:t>
      </w:r>
    </w:p>
    <w:p w14:paraId="5CDAAB63">
      <w:pPr>
        <w:spacing w:line="360" w:lineRule="auto"/>
        <w:jc w:val="center"/>
        <w:rPr>
          <w:rFonts w:ascii="宋体" w:hAnsi="宋体" w:cs="宋体"/>
          <w:color w:val="FF0000"/>
          <w:sz w:val="32"/>
          <w:szCs w:val="32"/>
          <w:highlight w:val="none"/>
        </w:rPr>
      </w:pPr>
    </w:p>
    <w:p w14:paraId="52AA44A8">
      <w:pPr>
        <w:autoSpaceDE w:val="0"/>
        <w:autoSpaceDN w:val="0"/>
        <w:adjustRightInd w:val="0"/>
        <w:jc w:val="center"/>
        <w:rPr>
          <w:rFonts w:ascii="宋体" w:hAnsi="宋体"/>
          <w:color w:val="auto"/>
          <w:sz w:val="28"/>
          <w:szCs w:val="28"/>
          <w:highlight w:val="none"/>
        </w:rPr>
      </w:pPr>
    </w:p>
    <w:p w14:paraId="20E4AD51">
      <w:pPr>
        <w:autoSpaceDE w:val="0"/>
        <w:autoSpaceDN w:val="0"/>
        <w:adjustRightInd w:val="0"/>
        <w:jc w:val="center"/>
        <w:rPr>
          <w:rFonts w:ascii="宋体" w:hAnsi="宋体"/>
          <w:color w:val="auto"/>
          <w:sz w:val="28"/>
          <w:szCs w:val="28"/>
          <w:highlight w:val="none"/>
        </w:rPr>
      </w:pPr>
    </w:p>
    <w:p w14:paraId="05C65D00">
      <w:pPr>
        <w:pStyle w:val="52"/>
        <w:rPr>
          <w:color w:val="auto"/>
          <w:highlight w:val="none"/>
        </w:rPr>
      </w:pPr>
    </w:p>
    <w:p w14:paraId="6254252F">
      <w:pPr>
        <w:autoSpaceDE w:val="0"/>
        <w:autoSpaceDN w:val="0"/>
        <w:adjustRightInd w:val="0"/>
        <w:jc w:val="center"/>
        <w:rPr>
          <w:rFonts w:ascii="宋体" w:hAnsi="宋体"/>
          <w:color w:val="auto"/>
          <w:sz w:val="28"/>
          <w:szCs w:val="28"/>
          <w:highlight w:val="none"/>
        </w:rPr>
      </w:pPr>
    </w:p>
    <w:p w14:paraId="20F6E0BF">
      <w:pPr>
        <w:spacing w:line="360" w:lineRule="auto"/>
        <w:rPr>
          <w:rFonts w:ascii="宋体" w:hAnsi="宋体"/>
          <w:color w:val="auto"/>
          <w:sz w:val="24"/>
          <w:szCs w:val="24"/>
          <w:highlight w:val="none"/>
        </w:rPr>
      </w:pPr>
    </w:p>
    <w:p w14:paraId="0A0CF98E">
      <w:pPr>
        <w:spacing w:line="360" w:lineRule="auto"/>
        <w:rPr>
          <w:rFonts w:ascii="宋体" w:hAnsi="宋体"/>
          <w:color w:val="auto"/>
          <w:sz w:val="24"/>
          <w:szCs w:val="24"/>
          <w:highlight w:val="none"/>
        </w:rPr>
      </w:pPr>
    </w:p>
    <w:p w14:paraId="0BD30C4E">
      <w:pPr>
        <w:spacing w:line="360" w:lineRule="auto"/>
        <w:rPr>
          <w:rFonts w:ascii="宋体" w:hAnsi="宋体"/>
          <w:color w:val="auto"/>
          <w:sz w:val="24"/>
          <w:szCs w:val="24"/>
          <w:highlight w:val="none"/>
        </w:rPr>
      </w:pPr>
    </w:p>
    <w:p w14:paraId="20EC38E2">
      <w:pPr>
        <w:spacing w:line="48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4"/>
          <w:szCs w:val="24"/>
          <w:highlight w:val="none"/>
        </w:rPr>
        <w:t>（企业电子签章）</w:t>
      </w:r>
    </w:p>
    <w:p w14:paraId="2550275F">
      <w:pPr>
        <w:tabs>
          <w:tab w:val="left" w:pos="4320"/>
        </w:tabs>
        <w:spacing w:line="360" w:lineRule="auto"/>
        <w:ind w:firstLine="1680" w:firstLineChars="6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4"/>
          <w:szCs w:val="24"/>
          <w:highlight w:val="none"/>
        </w:rPr>
        <w:t>（个人电子签章）</w:t>
      </w:r>
    </w:p>
    <w:p w14:paraId="2CC40352">
      <w:pPr>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供应商地址：</w:t>
      </w:r>
      <w:r>
        <w:rPr>
          <w:rFonts w:hint="eastAsia" w:ascii="宋体" w:hAnsi="宋体" w:cs="宋体"/>
          <w:color w:val="auto"/>
          <w:sz w:val="28"/>
          <w:szCs w:val="28"/>
          <w:highlight w:val="none"/>
          <w:u w:val="single"/>
        </w:rPr>
        <w:t xml:space="preserve">                       </w:t>
      </w:r>
    </w:p>
    <w:p w14:paraId="0670422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0A6F2C2">
      <w:pPr>
        <w:spacing w:line="360" w:lineRule="auto"/>
        <w:jc w:val="center"/>
        <w:rPr>
          <w:rFonts w:ascii="宋体" w:hAnsi="宋体"/>
          <w:b/>
          <w:color w:val="auto"/>
          <w:sz w:val="32"/>
          <w:szCs w:val="32"/>
          <w:highlight w:val="none"/>
        </w:rPr>
      </w:pPr>
      <w:r>
        <w:rPr>
          <w:rFonts w:hint="eastAsia" w:ascii="宋体" w:hAnsi="宋体"/>
          <w:color w:val="auto"/>
          <w:sz w:val="24"/>
          <w:szCs w:val="24"/>
          <w:highlight w:val="none"/>
        </w:rPr>
        <w:br w:type="page"/>
      </w:r>
      <w:r>
        <w:rPr>
          <w:rFonts w:hint="eastAsia" w:ascii="宋体" w:hAnsi="宋体"/>
          <w:b/>
          <w:color w:val="auto"/>
          <w:sz w:val="32"/>
          <w:szCs w:val="32"/>
          <w:highlight w:val="none"/>
        </w:rPr>
        <w:t>目  录</w:t>
      </w:r>
    </w:p>
    <w:p w14:paraId="19125645">
      <w:pPr>
        <w:spacing w:line="360" w:lineRule="auto"/>
        <w:jc w:val="center"/>
        <w:rPr>
          <w:rFonts w:ascii="宋体" w:hAnsi="宋体"/>
          <w:b/>
          <w:color w:val="auto"/>
          <w:sz w:val="32"/>
          <w:szCs w:val="32"/>
          <w:highlight w:val="none"/>
        </w:rPr>
      </w:pPr>
    </w:p>
    <w:p w14:paraId="52288D7A">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一、投标函及投标函附表</w:t>
      </w:r>
    </w:p>
    <w:p w14:paraId="04858AC3">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二、投标报价表</w:t>
      </w:r>
    </w:p>
    <w:p w14:paraId="14D1FA49">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三、法定代表人身份证明</w:t>
      </w:r>
    </w:p>
    <w:p w14:paraId="3ED1500C">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四、授权委托书</w:t>
      </w:r>
    </w:p>
    <w:p w14:paraId="0E46B976">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五、</w:t>
      </w:r>
      <w:r>
        <w:rPr>
          <w:rFonts w:hint="eastAsia" w:ascii="宋体" w:hAnsi="宋体" w:cs="宋体"/>
          <w:color w:val="auto"/>
          <w:sz w:val="21"/>
          <w:szCs w:val="21"/>
          <w:highlight w:val="none"/>
          <w:lang w:eastAsia="zh-CN"/>
        </w:rPr>
        <w:t>供货（实施）</w:t>
      </w:r>
      <w:r>
        <w:rPr>
          <w:rFonts w:hint="eastAsia" w:ascii="宋体" w:hAnsi="宋体" w:cs="宋体"/>
          <w:color w:val="auto"/>
          <w:sz w:val="21"/>
          <w:szCs w:val="21"/>
          <w:highlight w:val="none"/>
        </w:rPr>
        <w:t>方案及售后服务计划</w:t>
      </w:r>
    </w:p>
    <w:p w14:paraId="5E0CC56F">
      <w:pPr>
        <w:spacing w:line="48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六、资格审查资料</w:t>
      </w:r>
    </w:p>
    <w:p w14:paraId="7D81FB27">
      <w:pPr>
        <w:spacing w:line="480" w:lineRule="auto"/>
        <w:ind w:firstLine="539" w:firstLineChars="257"/>
        <w:rPr>
          <w:color w:val="auto"/>
          <w:sz w:val="21"/>
          <w:szCs w:val="21"/>
          <w:highlight w:val="none"/>
        </w:rPr>
      </w:pPr>
      <w:r>
        <w:rPr>
          <w:rFonts w:hint="eastAsia" w:ascii="宋体" w:hAnsi="宋体"/>
          <w:b w:val="0"/>
          <w:bCs/>
          <w:color w:val="auto"/>
          <w:sz w:val="21"/>
          <w:szCs w:val="21"/>
          <w:highlight w:val="none"/>
          <w:lang w:eastAsia="zh-CN"/>
        </w:rPr>
        <w:t>七</w:t>
      </w: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eastAsia="zh-CN"/>
        </w:rPr>
        <w:t>售后服务及优惠</w:t>
      </w:r>
      <w:r>
        <w:rPr>
          <w:rFonts w:hint="eastAsia" w:ascii="宋体" w:hAnsi="宋体"/>
          <w:b w:val="0"/>
          <w:bCs/>
          <w:color w:val="auto"/>
          <w:sz w:val="21"/>
          <w:szCs w:val="21"/>
          <w:highlight w:val="none"/>
        </w:rPr>
        <w:t>承诺</w:t>
      </w:r>
    </w:p>
    <w:p w14:paraId="3D02DFB6">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lang w:eastAsia="zh-CN"/>
        </w:rPr>
        <w:t>八</w:t>
      </w:r>
      <w:r>
        <w:rPr>
          <w:rFonts w:hint="eastAsia" w:ascii="宋体" w:hAnsi="宋体" w:cs="宋体"/>
          <w:color w:val="auto"/>
          <w:sz w:val="21"/>
          <w:szCs w:val="21"/>
          <w:highlight w:val="none"/>
        </w:rPr>
        <w:t>、供应商承诺函</w:t>
      </w:r>
    </w:p>
    <w:p w14:paraId="363A5C41">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lang w:eastAsia="zh-CN"/>
        </w:rPr>
        <w:t>九</w:t>
      </w:r>
      <w:r>
        <w:rPr>
          <w:rFonts w:hint="eastAsia" w:ascii="宋体" w:hAnsi="宋体" w:cs="宋体"/>
          <w:color w:val="auto"/>
          <w:sz w:val="21"/>
          <w:szCs w:val="21"/>
          <w:highlight w:val="none"/>
        </w:rPr>
        <w:t>、供应商认为必要提供的其它材料</w:t>
      </w:r>
    </w:p>
    <w:p w14:paraId="2A08F686">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十、供应商反商业贿赂承诺书</w:t>
      </w:r>
    </w:p>
    <w:p w14:paraId="6E9FA3CE">
      <w:pPr>
        <w:spacing w:line="48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享受政府采购政策扶持的证明材料</w:t>
      </w:r>
    </w:p>
    <w:p w14:paraId="5BEA56C1">
      <w:pPr>
        <w:spacing w:line="480" w:lineRule="auto"/>
        <w:ind w:left="559" w:leftChars="266" w:firstLine="154" w:firstLineChars="55"/>
        <w:rPr>
          <w:rFonts w:ascii="宋体" w:hAnsi="宋体" w:cs="宋体"/>
          <w:color w:val="auto"/>
          <w:sz w:val="28"/>
          <w:szCs w:val="22"/>
          <w:highlight w:val="none"/>
        </w:rPr>
      </w:pPr>
    </w:p>
    <w:p w14:paraId="320D23D7">
      <w:pPr>
        <w:spacing w:line="480" w:lineRule="auto"/>
        <w:ind w:left="559" w:leftChars="266" w:firstLine="154" w:firstLineChars="55"/>
        <w:rPr>
          <w:rFonts w:ascii="宋体" w:hAnsi="宋体" w:cs="宋体"/>
          <w:color w:val="auto"/>
          <w:sz w:val="28"/>
          <w:szCs w:val="22"/>
          <w:highlight w:val="none"/>
        </w:rPr>
      </w:pPr>
    </w:p>
    <w:p w14:paraId="139447CA">
      <w:pPr>
        <w:ind w:firstLine="719" w:firstLineChars="257"/>
        <w:rPr>
          <w:rFonts w:ascii="宋体" w:hAnsi="宋体"/>
          <w:color w:val="auto"/>
          <w:sz w:val="28"/>
          <w:highlight w:val="none"/>
        </w:rPr>
      </w:pPr>
    </w:p>
    <w:p w14:paraId="6FDD52DF">
      <w:pPr>
        <w:ind w:firstLine="719" w:firstLineChars="257"/>
        <w:rPr>
          <w:rFonts w:ascii="宋体" w:hAnsi="宋体"/>
          <w:color w:val="auto"/>
          <w:sz w:val="28"/>
          <w:highlight w:val="none"/>
        </w:rPr>
      </w:pPr>
    </w:p>
    <w:p w14:paraId="53ACDC23">
      <w:pPr>
        <w:ind w:firstLine="719" w:firstLineChars="257"/>
        <w:rPr>
          <w:rFonts w:ascii="宋体" w:hAnsi="宋体"/>
          <w:color w:val="auto"/>
          <w:sz w:val="28"/>
          <w:highlight w:val="none"/>
        </w:rPr>
      </w:pPr>
    </w:p>
    <w:p w14:paraId="3723A607">
      <w:pPr>
        <w:ind w:firstLine="719" w:firstLineChars="257"/>
        <w:rPr>
          <w:rFonts w:ascii="宋体" w:hAnsi="宋体"/>
          <w:color w:val="auto"/>
          <w:sz w:val="28"/>
          <w:highlight w:val="none"/>
        </w:rPr>
      </w:pPr>
    </w:p>
    <w:p w14:paraId="7CC91BA4">
      <w:pPr>
        <w:ind w:firstLine="719" w:firstLineChars="257"/>
        <w:rPr>
          <w:rFonts w:ascii="宋体" w:hAnsi="宋体"/>
          <w:color w:val="auto"/>
          <w:sz w:val="28"/>
          <w:highlight w:val="none"/>
        </w:rPr>
      </w:pPr>
    </w:p>
    <w:p w14:paraId="1E77DF40">
      <w:pPr>
        <w:pStyle w:val="3"/>
        <w:jc w:val="center"/>
        <w:rPr>
          <w:b/>
          <w:bCs/>
          <w:color w:val="auto"/>
          <w:sz w:val="28"/>
          <w:szCs w:val="28"/>
          <w:highlight w:val="none"/>
        </w:rPr>
      </w:pPr>
      <w:bookmarkStart w:id="158" w:name="_Toc317669237"/>
      <w:bookmarkStart w:id="159" w:name="_Toc276229562"/>
      <w:bookmarkStart w:id="160" w:name="_Toc276230920"/>
      <w:bookmarkStart w:id="161" w:name="_Toc241904703"/>
      <w:r>
        <w:rPr>
          <w:rFonts w:hint="eastAsia"/>
          <w:b/>
          <w:bCs/>
          <w:color w:val="auto"/>
          <w:sz w:val="28"/>
          <w:szCs w:val="28"/>
          <w:highlight w:val="none"/>
        </w:rPr>
        <w:br w:type="page"/>
      </w:r>
      <w:bookmarkStart w:id="162" w:name="_Toc1812"/>
      <w:r>
        <w:rPr>
          <w:rFonts w:hint="eastAsia"/>
          <w:b/>
          <w:bCs/>
          <w:color w:val="auto"/>
          <w:sz w:val="28"/>
          <w:szCs w:val="28"/>
          <w:highlight w:val="none"/>
        </w:rPr>
        <w:t>一、投标函及投标函附表</w:t>
      </w:r>
      <w:bookmarkEnd w:id="158"/>
      <w:bookmarkEnd w:id="159"/>
      <w:bookmarkEnd w:id="160"/>
      <w:bookmarkEnd w:id="162"/>
    </w:p>
    <w:bookmarkEnd w:id="161"/>
    <w:p w14:paraId="5C52E21D">
      <w:pPr>
        <w:pStyle w:val="4"/>
        <w:jc w:val="center"/>
        <w:rPr>
          <w:rFonts w:ascii="宋体" w:hAnsi="宋体" w:eastAsia="宋体"/>
          <w:color w:val="auto"/>
          <w:sz w:val="28"/>
          <w:szCs w:val="28"/>
          <w:highlight w:val="none"/>
        </w:rPr>
      </w:pPr>
      <w:bookmarkStart w:id="163" w:name="_Toc7000"/>
      <w:bookmarkStart w:id="164" w:name="_Toc276229563"/>
      <w:bookmarkStart w:id="165" w:name="_Toc276230921"/>
      <w:bookmarkStart w:id="166" w:name="_Toc317669238"/>
      <w:r>
        <w:rPr>
          <w:rFonts w:hint="eastAsia" w:ascii="宋体" w:hAnsi="宋体" w:eastAsia="宋体"/>
          <w:color w:val="auto"/>
          <w:sz w:val="28"/>
          <w:szCs w:val="28"/>
          <w:highlight w:val="none"/>
        </w:rPr>
        <w:t>1、投标函</w:t>
      </w:r>
      <w:bookmarkEnd w:id="163"/>
      <w:bookmarkEnd w:id="164"/>
      <w:bookmarkEnd w:id="165"/>
      <w:bookmarkEnd w:id="166"/>
    </w:p>
    <w:p w14:paraId="06AFEA6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采购人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DD6F64">
      <w:pPr>
        <w:pStyle w:val="9"/>
        <w:topLinePunct/>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1、根据已收到贵方</w:t>
      </w:r>
      <w:r>
        <w:rPr>
          <w:rFonts w:hint="eastAsia" w:hAnsi="宋体" w:cs="宋体"/>
          <w:color w:val="auto"/>
          <w:sz w:val="21"/>
          <w:szCs w:val="21"/>
          <w:highlight w:val="none"/>
          <w:lang w:val="en-US" w:eastAsia="zh-CN"/>
        </w:rPr>
        <w:t>项目</w:t>
      </w:r>
      <w:r>
        <w:rPr>
          <w:rFonts w:hint="eastAsia" w:hAnsi="宋体" w:cs="宋体"/>
          <w:color w:val="auto"/>
          <w:sz w:val="21"/>
          <w:szCs w:val="21"/>
          <w:highlight w:val="none"/>
        </w:rPr>
        <w:t>编号为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项目</w:t>
      </w:r>
      <w:r>
        <w:rPr>
          <w:rFonts w:hint="eastAsia" w:hAnsi="宋体" w:cs="宋体"/>
          <w:color w:val="auto"/>
          <w:sz w:val="21"/>
          <w:szCs w:val="21"/>
          <w:highlight w:val="none"/>
          <w:u w:val="single"/>
        </w:rPr>
        <w:t>编号和项目名称）</w:t>
      </w:r>
      <w:r>
        <w:rPr>
          <w:rFonts w:hint="eastAsia" w:hAnsi="宋体" w:cs="宋体"/>
          <w:color w:val="auto"/>
          <w:sz w:val="21"/>
          <w:szCs w:val="21"/>
          <w:highlight w:val="none"/>
        </w:rPr>
        <w:t>的招标文件，遵照《中华人民共和国政府采购法》、《中华人民共和国政府采购法实施条例》、《政府采购货物和服务招标投标管理办法》及有关法律法规等规定，我单位经研究上述招标文件的供应商须知、合同条款、技术标准及要求及其它有关文件后，我方愿以人民币</w:t>
      </w:r>
      <w:r>
        <w:rPr>
          <w:rFonts w:hint="eastAsia" w:hAnsi="宋体" w:cs="宋体"/>
          <w:color w:val="auto"/>
          <w:sz w:val="21"/>
          <w:szCs w:val="21"/>
          <w:highlight w:val="none"/>
          <w:u w:val="single"/>
        </w:rPr>
        <w:t xml:space="preserve">（大写）        </w:t>
      </w:r>
      <w:r>
        <w:rPr>
          <w:rFonts w:hint="eastAsia" w:hAnsi="宋体" w:cs="宋体"/>
          <w:color w:val="auto"/>
          <w:sz w:val="21"/>
          <w:szCs w:val="21"/>
          <w:highlight w:val="none"/>
        </w:rPr>
        <w:t>（RMB：￥</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w:t>
      </w:r>
      <w:r>
        <w:rPr>
          <w:rFonts w:hint="eastAsia" w:hAnsi="宋体" w:cs="宋体"/>
          <w:color w:val="auto"/>
          <w:sz w:val="21"/>
          <w:szCs w:val="21"/>
          <w:highlight w:val="none"/>
          <w:lang w:eastAsia="zh-CN"/>
        </w:rPr>
        <w:t>，其中单价：</w:t>
      </w:r>
      <w:r>
        <w:rPr>
          <w:rFonts w:hint="eastAsia" w:hAnsi="宋体" w:cs="宋体"/>
          <w:color w:val="auto"/>
          <w:sz w:val="21"/>
          <w:szCs w:val="21"/>
          <w:highlight w:val="none"/>
          <w:u w:val="single"/>
          <w:lang w:eastAsia="zh-CN"/>
        </w:rPr>
        <w:t>详见货物分项报价一览表</w:t>
      </w:r>
      <w:r>
        <w:rPr>
          <w:rFonts w:hint="eastAsia" w:hAnsi="宋体" w:cs="宋体"/>
          <w:color w:val="auto"/>
          <w:sz w:val="21"/>
          <w:szCs w:val="21"/>
          <w:highlight w:val="none"/>
        </w:rPr>
        <w:t>）的投标总报价，并按上述供应商须知、合同条款、技术标准及要求及其它有关文件的要求完成本项目招标所有内容。</w:t>
      </w:r>
    </w:p>
    <w:p w14:paraId="152E90CD">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2、我方已详细审核全部招标文件，包括修改文件（如果有的话），及有关附件。</w:t>
      </w:r>
    </w:p>
    <w:p w14:paraId="67FEB6A4">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3、我方承认投标函附表是我方投标函的组成部分。</w:t>
      </w:r>
    </w:p>
    <w:p w14:paraId="082466B1">
      <w:pPr>
        <w:spacing w:line="360" w:lineRule="auto"/>
        <w:ind w:left="-84" w:leftChars="-40" w:firstLine="441" w:firstLineChars="21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4、我方一旦中标，我方保证按照合同条款中规定，合同履行期限为：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olor w:val="auto"/>
          <w:sz w:val="21"/>
          <w:szCs w:val="21"/>
          <w:highlight w:val="none"/>
        </w:rPr>
        <w:t>质量标准达到：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none"/>
          <w:lang w:eastAsia="zh-CN"/>
        </w:rPr>
        <w:t>质保期：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eastAsia="zh-CN"/>
        </w:rPr>
        <w:t>。</w:t>
      </w:r>
    </w:p>
    <w:p w14:paraId="1731C83C">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5、我方同意所递交的投标文件在招标文件规定的投标有效期内（自投标截止之日起60日历天）有效，在此期间我方投标有可能中标，我方将受此约束。</w:t>
      </w:r>
    </w:p>
    <w:p w14:paraId="4F1B091F">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6、我们已经详细审核了全部招标文件，包括修改、补充的文件（如果有的话）和参考资料，我们完全理解并同意放弃对这方面有不明及误解的权利。</w:t>
      </w:r>
    </w:p>
    <w:p w14:paraId="50336843">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7、除非另外达成协议并生效，贵方的中标通知书和本投标文件将构成约束我们双方的合同。</w:t>
      </w:r>
    </w:p>
    <w:p w14:paraId="5601BB89">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8、我方承诺在中标后按国家规定向招标机构支付本次招标服务费用。</w:t>
      </w:r>
    </w:p>
    <w:p w14:paraId="1782D4ED">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9、我们愿按《中华人民共和国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》履行自己的全部责任。</w:t>
      </w:r>
    </w:p>
    <w:p w14:paraId="56EC6433">
      <w:pPr>
        <w:spacing w:line="360" w:lineRule="auto"/>
        <w:ind w:left="-84" w:leftChars="-40"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10、与本投标有关的正式通讯地址：</w:t>
      </w:r>
    </w:p>
    <w:p w14:paraId="7433A1A8">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邮编：</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725F28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传真：</w:t>
      </w:r>
      <w:r>
        <w:rPr>
          <w:rFonts w:hint="eastAsia" w:ascii="宋体" w:hAnsi="宋体" w:cs="宋体"/>
          <w:color w:val="auto"/>
          <w:sz w:val="21"/>
          <w:szCs w:val="21"/>
          <w:highlight w:val="none"/>
          <w:u w:val="single"/>
        </w:rPr>
        <w:t xml:space="preserve">                      </w:t>
      </w:r>
    </w:p>
    <w:p w14:paraId="5AA2C612">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开户银行名称：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开户银行账号：</w:t>
      </w:r>
      <w:r>
        <w:rPr>
          <w:rFonts w:hint="eastAsia" w:ascii="宋体" w:hAnsi="宋体" w:cs="宋体"/>
          <w:color w:val="auto"/>
          <w:sz w:val="21"/>
          <w:szCs w:val="21"/>
          <w:highlight w:val="none"/>
          <w:u w:val="single"/>
        </w:rPr>
        <w:t xml:space="preserve">                      </w:t>
      </w:r>
    </w:p>
    <w:p w14:paraId="630CCC75">
      <w:pPr>
        <w:tabs>
          <w:tab w:val="left" w:pos="4320"/>
        </w:tabs>
        <w:spacing w:line="360" w:lineRule="auto"/>
        <w:ind w:firstLine="550" w:firstLineChars="262"/>
        <w:rPr>
          <w:rFonts w:ascii="宋体" w:hAnsi="宋体" w:cs="宋体"/>
          <w:color w:val="auto"/>
          <w:sz w:val="21"/>
          <w:szCs w:val="21"/>
          <w:highlight w:val="none"/>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（企业电子签章） </w:t>
      </w:r>
    </w:p>
    <w:p w14:paraId="6D8CD8C0">
      <w:pPr>
        <w:tabs>
          <w:tab w:val="left" w:pos="4320"/>
        </w:tabs>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法定代表人或授权代理人：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（个人电子签章）</w:t>
      </w:r>
    </w:p>
    <w:p w14:paraId="3601229C">
      <w:pPr>
        <w:spacing w:line="360" w:lineRule="auto"/>
        <w:ind w:left="105" w:leftChars="5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284DA3C">
      <w:pPr>
        <w:pStyle w:val="4"/>
        <w:jc w:val="center"/>
        <w:rPr>
          <w:rFonts w:ascii="宋体" w:hAnsi="宋体" w:eastAsia="宋体"/>
          <w:color w:val="auto"/>
          <w:sz w:val="28"/>
          <w:szCs w:val="22"/>
          <w:highlight w:val="none"/>
        </w:rPr>
      </w:pPr>
      <w:r>
        <w:rPr>
          <w:rFonts w:ascii="宋体" w:hAnsi="宋体"/>
          <w:color w:val="auto"/>
          <w:sz w:val="22"/>
          <w:szCs w:val="22"/>
          <w:highlight w:val="none"/>
        </w:rPr>
        <w:br w:type="page"/>
      </w:r>
      <w:bookmarkStart w:id="167" w:name="_Toc12807"/>
      <w:bookmarkStart w:id="168" w:name="_Toc317669239"/>
      <w:bookmarkStart w:id="169" w:name="_Toc276230922"/>
      <w:bookmarkStart w:id="170" w:name="_Toc276229564"/>
      <w:bookmarkStart w:id="171" w:name="_Toc286239004"/>
      <w:r>
        <w:rPr>
          <w:rFonts w:hint="eastAsia" w:ascii="宋体" w:hAnsi="宋体" w:eastAsia="宋体"/>
          <w:color w:val="auto"/>
          <w:sz w:val="28"/>
          <w:szCs w:val="22"/>
          <w:highlight w:val="none"/>
        </w:rPr>
        <w:t>2、投标函附表</w:t>
      </w:r>
      <w:bookmarkEnd w:id="167"/>
      <w:bookmarkEnd w:id="168"/>
      <w:bookmarkEnd w:id="169"/>
      <w:bookmarkEnd w:id="170"/>
      <w:bookmarkEnd w:id="171"/>
    </w:p>
    <w:p w14:paraId="6EA30504">
      <w:pPr>
        <w:spacing w:line="360" w:lineRule="auto"/>
        <w:jc w:val="center"/>
        <w:rPr>
          <w:rFonts w:ascii="宋体" w:hAnsi="宋体" w:cs="宋体"/>
          <w:color w:val="auto"/>
          <w:sz w:val="21"/>
          <w:szCs w:val="21"/>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单位：元/人民币</w:t>
      </w:r>
    </w:p>
    <w:tbl>
      <w:tblPr>
        <w:tblStyle w:val="3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805"/>
      </w:tblGrid>
      <w:tr w14:paraId="6C61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103" w:type="dxa"/>
            <w:tcBorders>
              <w:bottom w:val="single" w:color="auto" w:sz="4" w:space="0"/>
              <w:right w:val="single" w:color="auto" w:sz="4" w:space="0"/>
            </w:tcBorders>
            <w:vAlign w:val="center"/>
          </w:tcPr>
          <w:p w14:paraId="5EB452DC">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项目名称</w:t>
            </w:r>
          </w:p>
        </w:tc>
        <w:tc>
          <w:tcPr>
            <w:tcW w:w="6805" w:type="dxa"/>
            <w:tcBorders>
              <w:left w:val="single" w:color="auto" w:sz="4" w:space="0"/>
              <w:bottom w:val="single" w:color="auto" w:sz="4" w:space="0"/>
            </w:tcBorders>
            <w:vAlign w:val="center"/>
          </w:tcPr>
          <w:p w14:paraId="0CA59A1E">
            <w:pPr>
              <w:jc w:val="center"/>
              <w:rPr>
                <w:rFonts w:hint="default" w:ascii="宋体" w:hAnsi="宋体"/>
                <w:color w:val="auto"/>
                <w:sz w:val="21"/>
                <w:szCs w:val="21"/>
                <w:highlight w:val="none"/>
                <w:u w:val="none"/>
                <w:lang w:val="en-US"/>
              </w:rPr>
            </w:pPr>
          </w:p>
        </w:tc>
      </w:tr>
      <w:tr w14:paraId="3B5C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103" w:type="dxa"/>
            <w:tcBorders>
              <w:bottom w:val="single" w:color="auto" w:sz="4" w:space="0"/>
              <w:right w:val="single" w:color="auto" w:sz="4" w:space="0"/>
            </w:tcBorders>
            <w:vAlign w:val="center"/>
          </w:tcPr>
          <w:p w14:paraId="71CCF362">
            <w:pPr>
              <w:jc w:val="center"/>
              <w:rPr>
                <w:rFonts w:ascii="宋体" w:hAnsi="宋体"/>
                <w:color w:val="auto"/>
                <w:sz w:val="21"/>
                <w:szCs w:val="21"/>
                <w:highlight w:val="none"/>
              </w:rPr>
            </w:pPr>
            <w:r>
              <w:rPr>
                <w:rFonts w:hint="eastAsia" w:ascii="宋体" w:hAnsi="宋体"/>
                <w:color w:val="auto"/>
                <w:sz w:val="21"/>
                <w:szCs w:val="21"/>
                <w:highlight w:val="none"/>
              </w:rPr>
              <w:t>项目编号</w:t>
            </w:r>
          </w:p>
        </w:tc>
        <w:tc>
          <w:tcPr>
            <w:tcW w:w="6805" w:type="dxa"/>
            <w:tcBorders>
              <w:left w:val="single" w:color="auto" w:sz="4" w:space="0"/>
              <w:bottom w:val="single" w:color="auto" w:sz="4" w:space="0"/>
            </w:tcBorders>
            <w:vAlign w:val="center"/>
          </w:tcPr>
          <w:p w14:paraId="16C4E80A">
            <w:pPr>
              <w:rPr>
                <w:rFonts w:ascii="宋体" w:hAnsi="宋体"/>
                <w:color w:val="auto"/>
                <w:sz w:val="21"/>
                <w:szCs w:val="21"/>
                <w:highlight w:val="none"/>
              </w:rPr>
            </w:pPr>
          </w:p>
        </w:tc>
      </w:tr>
      <w:tr w14:paraId="078F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103" w:type="dxa"/>
            <w:vMerge w:val="restart"/>
            <w:tcBorders>
              <w:top w:val="single" w:color="auto" w:sz="4" w:space="0"/>
              <w:right w:val="single" w:color="auto" w:sz="4" w:space="0"/>
            </w:tcBorders>
            <w:vAlign w:val="center"/>
          </w:tcPr>
          <w:p w14:paraId="614F57D6">
            <w:pPr>
              <w:jc w:val="center"/>
              <w:rPr>
                <w:rFonts w:ascii="宋体" w:hAnsi="宋体"/>
                <w:color w:val="auto"/>
                <w:sz w:val="21"/>
                <w:szCs w:val="21"/>
                <w:highlight w:val="none"/>
              </w:rPr>
            </w:pPr>
            <w:r>
              <w:rPr>
                <w:rFonts w:hint="eastAsia" w:ascii="宋体" w:hAnsi="宋体"/>
                <w:color w:val="auto"/>
                <w:sz w:val="21"/>
                <w:szCs w:val="21"/>
                <w:highlight w:val="none"/>
              </w:rPr>
              <w:t>投标报价</w:t>
            </w:r>
          </w:p>
        </w:tc>
        <w:tc>
          <w:tcPr>
            <w:tcW w:w="6805" w:type="dxa"/>
            <w:tcBorders>
              <w:top w:val="single" w:color="auto" w:sz="4" w:space="0"/>
              <w:left w:val="single" w:color="auto" w:sz="4" w:space="0"/>
              <w:bottom w:val="single" w:color="auto" w:sz="4" w:space="0"/>
            </w:tcBorders>
            <w:vAlign w:val="center"/>
          </w:tcPr>
          <w:p w14:paraId="1CE3FB06">
            <w:pPr>
              <w:rPr>
                <w:rFonts w:ascii="宋体" w:hAnsi="宋体"/>
                <w:color w:val="auto"/>
                <w:sz w:val="21"/>
                <w:szCs w:val="21"/>
                <w:highlight w:val="none"/>
                <w:u w:val="single"/>
              </w:rPr>
            </w:pPr>
            <w:r>
              <w:rPr>
                <w:rFonts w:hint="eastAsia" w:ascii="宋体" w:hAnsi="宋体"/>
                <w:color w:val="auto"/>
                <w:sz w:val="21"/>
                <w:szCs w:val="21"/>
                <w:highlight w:val="none"/>
                <w:u w:val="single"/>
              </w:rPr>
              <w:t>大写：</w:t>
            </w:r>
          </w:p>
        </w:tc>
      </w:tr>
      <w:tr w14:paraId="211B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103" w:type="dxa"/>
            <w:vMerge w:val="continue"/>
            <w:tcBorders>
              <w:right w:val="single" w:color="auto" w:sz="4" w:space="0"/>
            </w:tcBorders>
            <w:vAlign w:val="center"/>
          </w:tcPr>
          <w:p w14:paraId="1F7756CB">
            <w:pPr>
              <w:widowControl/>
              <w:jc w:val="left"/>
              <w:rPr>
                <w:rFonts w:ascii="宋体" w:hAnsi="宋体"/>
                <w:color w:val="auto"/>
                <w:sz w:val="21"/>
                <w:szCs w:val="21"/>
                <w:highlight w:val="none"/>
              </w:rPr>
            </w:pPr>
          </w:p>
        </w:tc>
        <w:tc>
          <w:tcPr>
            <w:tcW w:w="6805" w:type="dxa"/>
            <w:tcBorders>
              <w:top w:val="single" w:color="auto" w:sz="4" w:space="0"/>
              <w:left w:val="single" w:color="auto" w:sz="4" w:space="0"/>
              <w:bottom w:val="single" w:color="auto" w:sz="4" w:space="0"/>
            </w:tcBorders>
            <w:vAlign w:val="center"/>
          </w:tcPr>
          <w:p w14:paraId="4A939A45">
            <w:pPr>
              <w:rPr>
                <w:rFonts w:ascii="宋体" w:hAnsi="宋体"/>
                <w:color w:val="auto"/>
                <w:sz w:val="21"/>
                <w:szCs w:val="21"/>
                <w:highlight w:val="none"/>
                <w:u w:val="single"/>
              </w:rPr>
            </w:pPr>
            <w:r>
              <w:rPr>
                <w:rFonts w:hint="eastAsia" w:ascii="宋体" w:hAnsi="宋体"/>
                <w:color w:val="auto"/>
                <w:sz w:val="21"/>
                <w:szCs w:val="21"/>
                <w:highlight w:val="none"/>
                <w:u w:val="single"/>
              </w:rPr>
              <w:t>小写：</w:t>
            </w:r>
          </w:p>
        </w:tc>
      </w:tr>
      <w:tr w14:paraId="339A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03" w:type="dxa"/>
            <w:vMerge w:val="continue"/>
            <w:tcBorders>
              <w:bottom w:val="single" w:color="auto" w:sz="4" w:space="0"/>
              <w:right w:val="single" w:color="auto" w:sz="4" w:space="0"/>
            </w:tcBorders>
            <w:vAlign w:val="center"/>
          </w:tcPr>
          <w:p w14:paraId="35BDA46B">
            <w:pPr>
              <w:widowControl/>
              <w:jc w:val="left"/>
              <w:rPr>
                <w:rFonts w:ascii="宋体" w:hAnsi="宋体"/>
                <w:color w:val="auto"/>
                <w:sz w:val="21"/>
                <w:szCs w:val="21"/>
                <w:highlight w:val="none"/>
              </w:rPr>
            </w:pPr>
          </w:p>
        </w:tc>
        <w:tc>
          <w:tcPr>
            <w:tcW w:w="6805" w:type="dxa"/>
            <w:tcBorders>
              <w:top w:val="single" w:color="auto" w:sz="4" w:space="0"/>
              <w:left w:val="single" w:color="auto" w:sz="4" w:space="0"/>
              <w:bottom w:val="single" w:color="auto" w:sz="4" w:space="0"/>
            </w:tcBorders>
            <w:vAlign w:val="center"/>
          </w:tcPr>
          <w:p w14:paraId="2A16D988">
            <w:pPr>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none"/>
                <w:lang w:eastAsia="zh-CN"/>
              </w:rPr>
              <w:t>其中单价（详见分项报价一览表）</w:t>
            </w:r>
          </w:p>
        </w:tc>
      </w:tr>
      <w:tr w14:paraId="011B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103" w:type="dxa"/>
            <w:tcBorders>
              <w:top w:val="single" w:color="auto" w:sz="4" w:space="0"/>
              <w:bottom w:val="single" w:color="auto" w:sz="4" w:space="0"/>
              <w:right w:val="single" w:color="auto" w:sz="4" w:space="0"/>
            </w:tcBorders>
            <w:vAlign w:val="center"/>
          </w:tcPr>
          <w:p w14:paraId="3620D492">
            <w:pPr>
              <w:jc w:val="center"/>
              <w:rPr>
                <w:rFonts w:ascii="宋体" w:hAnsi="宋体"/>
                <w:color w:val="auto"/>
                <w:sz w:val="21"/>
                <w:szCs w:val="21"/>
                <w:highlight w:val="none"/>
              </w:rPr>
            </w:pPr>
            <w:r>
              <w:rPr>
                <w:rFonts w:hint="eastAsia" w:ascii="宋体" w:hAnsi="宋体"/>
                <w:color w:val="auto"/>
                <w:sz w:val="21"/>
                <w:szCs w:val="21"/>
                <w:highlight w:val="none"/>
              </w:rPr>
              <w:t>投标范围</w:t>
            </w:r>
          </w:p>
        </w:tc>
        <w:tc>
          <w:tcPr>
            <w:tcW w:w="6805" w:type="dxa"/>
            <w:tcBorders>
              <w:top w:val="single" w:color="auto" w:sz="4" w:space="0"/>
              <w:left w:val="single" w:color="auto" w:sz="4" w:space="0"/>
              <w:bottom w:val="single" w:color="auto" w:sz="4" w:space="0"/>
            </w:tcBorders>
            <w:vAlign w:val="center"/>
          </w:tcPr>
          <w:p w14:paraId="743E8AA2">
            <w:pPr>
              <w:rPr>
                <w:rFonts w:ascii="宋体" w:hAnsi="宋体"/>
                <w:color w:val="auto"/>
                <w:sz w:val="21"/>
                <w:szCs w:val="21"/>
                <w:highlight w:val="none"/>
                <w:u w:val="single"/>
              </w:rPr>
            </w:pPr>
          </w:p>
        </w:tc>
      </w:tr>
      <w:tr w14:paraId="5956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103" w:type="dxa"/>
            <w:tcBorders>
              <w:top w:val="single" w:color="auto" w:sz="4" w:space="0"/>
              <w:bottom w:val="single" w:color="auto" w:sz="4" w:space="0"/>
              <w:right w:val="single" w:color="auto" w:sz="4" w:space="0"/>
            </w:tcBorders>
            <w:vAlign w:val="center"/>
          </w:tcPr>
          <w:p w14:paraId="79F1C8A0">
            <w:pPr>
              <w:jc w:val="center"/>
              <w:rPr>
                <w:rFonts w:ascii="宋体" w:hAnsi="宋体"/>
                <w:color w:val="auto"/>
                <w:sz w:val="21"/>
                <w:szCs w:val="21"/>
                <w:highlight w:val="none"/>
              </w:rPr>
            </w:pPr>
            <w:r>
              <w:rPr>
                <w:rFonts w:hint="eastAsia" w:ascii="宋体" w:hAnsi="宋体"/>
                <w:color w:val="auto"/>
                <w:sz w:val="21"/>
                <w:szCs w:val="21"/>
                <w:highlight w:val="none"/>
              </w:rPr>
              <w:t>合同履行期限</w:t>
            </w:r>
          </w:p>
        </w:tc>
        <w:tc>
          <w:tcPr>
            <w:tcW w:w="6805" w:type="dxa"/>
            <w:tcBorders>
              <w:top w:val="single" w:color="auto" w:sz="4" w:space="0"/>
              <w:left w:val="single" w:color="auto" w:sz="4" w:space="0"/>
              <w:bottom w:val="single" w:color="auto" w:sz="4" w:space="0"/>
            </w:tcBorders>
            <w:vAlign w:val="center"/>
          </w:tcPr>
          <w:p w14:paraId="47F8B689">
            <w:pPr>
              <w:rPr>
                <w:rFonts w:ascii="宋体" w:hAnsi="宋体"/>
                <w:color w:val="auto"/>
                <w:sz w:val="21"/>
                <w:szCs w:val="21"/>
                <w:highlight w:val="none"/>
              </w:rPr>
            </w:pPr>
          </w:p>
        </w:tc>
      </w:tr>
      <w:tr w14:paraId="7405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103" w:type="dxa"/>
            <w:tcBorders>
              <w:top w:val="single" w:color="auto" w:sz="4" w:space="0"/>
              <w:bottom w:val="single" w:color="auto" w:sz="4" w:space="0"/>
              <w:right w:val="single" w:color="auto" w:sz="4" w:space="0"/>
            </w:tcBorders>
            <w:vAlign w:val="center"/>
          </w:tcPr>
          <w:p w14:paraId="0E3A16C2">
            <w:pPr>
              <w:jc w:val="center"/>
              <w:rPr>
                <w:rFonts w:ascii="宋体" w:hAnsi="宋体"/>
                <w:color w:val="auto"/>
                <w:sz w:val="21"/>
                <w:szCs w:val="21"/>
                <w:highlight w:val="none"/>
              </w:rPr>
            </w:pPr>
            <w:r>
              <w:rPr>
                <w:rFonts w:hint="eastAsia" w:ascii="宋体" w:hAnsi="宋体"/>
                <w:color w:val="auto"/>
                <w:sz w:val="21"/>
                <w:szCs w:val="21"/>
                <w:highlight w:val="none"/>
              </w:rPr>
              <w:t>项目实施地点</w:t>
            </w:r>
          </w:p>
        </w:tc>
        <w:tc>
          <w:tcPr>
            <w:tcW w:w="6805" w:type="dxa"/>
            <w:tcBorders>
              <w:top w:val="single" w:color="auto" w:sz="4" w:space="0"/>
              <w:left w:val="single" w:color="auto" w:sz="4" w:space="0"/>
              <w:bottom w:val="single" w:color="auto" w:sz="4" w:space="0"/>
            </w:tcBorders>
            <w:vAlign w:val="center"/>
          </w:tcPr>
          <w:p w14:paraId="09A70387">
            <w:pPr>
              <w:rPr>
                <w:rFonts w:ascii="宋体" w:hAnsi="宋体"/>
                <w:color w:val="auto"/>
                <w:sz w:val="21"/>
                <w:szCs w:val="21"/>
                <w:highlight w:val="none"/>
              </w:rPr>
            </w:pPr>
          </w:p>
        </w:tc>
      </w:tr>
      <w:tr w14:paraId="6C2B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103" w:type="dxa"/>
            <w:tcBorders>
              <w:top w:val="single" w:color="auto" w:sz="4" w:space="0"/>
              <w:bottom w:val="single" w:color="auto" w:sz="4" w:space="0"/>
              <w:right w:val="single" w:color="auto" w:sz="4" w:space="0"/>
            </w:tcBorders>
            <w:vAlign w:val="center"/>
          </w:tcPr>
          <w:p w14:paraId="57CBF886">
            <w:pPr>
              <w:jc w:val="center"/>
              <w:rPr>
                <w:rFonts w:ascii="宋体" w:hAnsi="宋体"/>
                <w:color w:val="auto"/>
                <w:sz w:val="21"/>
                <w:szCs w:val="21"/>
                <w:highlight w:val="none"/>
              </w:rPr>
            </w:pPr>
            <w:r>
              <w:rPr>
                <w:rFonts w:hint="eastAsia" w:ascii="宋体" w:hAnsi="宋体"/>
                <w:color w:val="auto"/>
                <w:sz w:val="21"/>
                <w:szCs w:val="21"/>
                <w:highlight w:val="none"/>
              </w:rPr>
              <w:t>质量标准</w:t>
            </w:r>
          </w:p>
        </w:tc>
        <w:tc>
          <w:tcPr>
            <w:tcW w:w="6805" w:type="dxa"/>
            <w:tcBorders>
              <w:top w:val="single" w:color="auto" w:sz="4" w:space="0"/>
              <w:left w:val="single" w:color="auto" w:sz="4" w:space="0"/>
              <w:bottom w:val="single" w:color="auto" w:sz="4" w:space="0"/>
            </w:tcBorders>
            <w:vAlign w:val="center"/>
          </w:tcPr>
          <w:p w14:paraId="17BD4526">
            <w:pPr>
              <w:rPr>
                <w:rFonts w:ascii="宋体" w:hAnsi="宋体"/>
                <w:color w:val="auto"/>
                <w:sz w:val="21"/>
                <w:szCs w:val="21"/>
                <w:highlight w:val="none"/>
              </w:rPr>
            </w:pPr>
          </w:p>
        </w:tc>
      </w:tr>
      <w:tr w14:paraId="68BF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103" w:type="dxa"/>
            <w:tcBorders>
              <w:top w:val="single" w:color="auto" w:sz="4" w:space="0"/>
              <w:bottom w:val="single" w:color="auto" w:sz="4" w:space="0"/>
              <w:right w:val="single" w:color="auto" w:sz="4" w:space="0"/>
            </w:tcBorders>
            <w:vAlign w:val="center"/>
          </w:tcPr>
          <w:p w14:paraId="64DAC9CA">
            <w:pPr>
              <w:jc w:val="center"/>
              <w:rPr>
                <w:rFonts w:ascii="宋体" w:hAnsi="宋体"/>
                <w:color w:val="auto"/>
                <w:sz w:val="21"/>
                <w:szCs w:val="21"/>
                <w:highlight w:val="none"/>
              </w:rPr>
            </w:pPr>
            <w:r>
              <w:rPr>
                <w:rFonts w:hint="eastAsia" w:ascii="宋体" w:hAnsi="宋体"/>
                <w:color w:val="auto"/>
                <w:sz w:val="21"/>
                <w:szCs w:val="21"/>
                <w:highlight w:val="none"/>
              </w:rPr>
              <w:t>质保期</w:t>
            </w:r>
          </w:p>
        </w:tc>
        <w:tc>
          <w:tcPr>
            <w:tcW w:w="6805" w:type="dxa"/>
            <w:tcBorders>
              <w:top w:val="single" w:color="auto" w:sz="4" w:space="0"/>
              <w:left w:val="single" w:color="auto" w:sz="4" w:space="0"/>
              <w:bottom w:val="single" w:color="auto" w:sz="4" w:space="0"/>
            </w:tcBorders>
            <w:vAlign w:val="center"/>
          </w:tcPr>
          <w:p w14:paraId="597552C8">
            <w:pPr>
              <w:rPr>
                <w:rFonts w:ascii="宋体" w:hAnsi="宋体"/>
                <w:color w:val="auto"/>
                <w:sz w:val="21"/>
                <w:szCs w:val="21"/>
                <w:highlight w:val="none"/>
              </w:rPr>
            </w:pPr>
          </w:p>
        </w:tc>
      </w:tr>
      <w:tr w14:paraId="1519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103" w:type="dxa"/>
            <w:tcBorders>
              <w:top w:val="single" w:color="auto" w:sz="4" w:space="0"/>
              <w:bottom w:val="single" w:color="auto" w:sz="4" w:space="0"/>
              <w:right w:val="single" w:color="auto" w:sz="4" w:space="0"/>
            </w:tcBorders>
            <w:vAlign w:val="center"/>
          </w:tcPr>
          <w:p w14:paraId="7CDFE352">
            <w:pPr>
              <w:jc w:val="center"/>
              <w:rPr>
                <w:rFonts w:ascii="宋体" w:hAnsi="宋体"/>
                <w:color w:val="auto"/>
                <w:sz w:val="21"/>
                <w:szCs w:val="21"/>
                <w:highlight w:val="none"/>
              </w:rPr>
            </w:pPr>
            <w:r>
              <w:rPr>
                <w:rFonts w:hint="eastAsia" w:ascii="宋体" w:hAnsi="宋体"/>
                <w:color w:val="auto"/>
                <w:sz w:val="21"/>
                <w:szCs w:val="21"/>
                <w:highlight w:val="none"/>
              </w:rPr>
              <w:t>投标有效期</w:t>
            </w:r>
          </w:p>
        </w:tc>
        <w:tc>
          <w:tcPr>
            <w:tcW w:w="6805" w:type="dxa"/>
            <w:tcBorders>
              <w:top w:val="single" w:color="auto" w:sz="4" w:space="0"/>
              <w:left w:val="single" w:color="auto" w:sz="4" w:space="0"/>
              <w:bottom w:val="single" w:color="auto" w:sz="4" w:space="0"/>
            </w:tcBorders>
            <w:vAlign w:val="center"/>
          </w:tcPr>
          <w:p w14:paraId="6C12A85B">
            <w:pPr>
              <w:rPr>
                <w:rFonts w:ascii="宋体" w:hAnsi="宋体"/>
                <w:color w:val="auto"/>
                <w:sz w:val="21"/>
                <w:szCs w:val="21"/>
                <w:highlight w:val="none"/>
              </w:rPr>
            </w:pPr>
          </w:p>
        </w:tc>
      </w:tr>
      <w:tr w14:paraId="0B72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103" w:type="dxa"/>
            <w:tcBorders>
              <w:top w:val="single" w:color="auto" w:sz="4" w:space="0"/>
              <w:right w:val="single" w:color="auto" w:sz="4" w:space="0"/>
            </w:tcBorders>
            <w:vAlign w:val="center"/>
          </w:tcPr>
          <w:p w14:paraId="5BC2D8D4">
            <w:pPr>
              <w:jc w:val="center"/>
              <w:rPr>
                <w:rFonts w:ascii="宋体" w:hAnsi="宋体"/>
                <w:color w:val="auto"/>
                <w:sz w:val="21"/>
                <w:szCs w:val="21"/>
                <w:highlight w:val="none"/>
              </w:rPr>
            </w:pPr>
            <w:r>
              <w:rPr>
                <w:rFonts w:hint="eastAsia" w:ascii="宋体" w:hAnsi="宋体"/>
                <w:color w:val="auto"/>
                <w:sz w:val="21"/>
                <w:szCs w:val="21"/>
                <w:highlight w:val="none"/>
              </w:rPr>
              <w:t>备注</w:t>
            </w:r>
          </w:p>
        </w:tc>
        <w:tc>
          <w:tcPr>
            <w:tcW w:w="6805" w:type="dxa"/>
            <w:tcBorders>
              <w:top w:val="single" w:color="auto" w:sz="4" w:space="0"/>
              <w:left w:val="single" w:color="auto" w:sz="4" w:space="0"/>
            </w:tcBorders>
            <w:vAlign w:val="center"/>
          </w:tcPr>
          <w:p w14:paraId="2EAFB890">
            <w:pPr>
              <w:rPr>
                <w:rFonts w:ascii="宋体" w:hAnsi="宋体"/>
                <w:color w:val="auto"/>
                <w:sz w:val="21"/>
                <w:szCs w:val="21"/>
                <w:highlight w:val="none"/>
                <w:u w:val="single"/>
              </w:rPr>
            </w:pPr>
          </w:p>
        </w:tc>
      </w:tr>
    </w:tbl>
    <w:p w14:paraId="08F5F629">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注：供应商可根据需要自行增减</w:t>
      </w:r>
    </w:p>
    <w:p w14:paraId="6EFFF393">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法定代表人（个人电子签章）: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ab/>
      </w:r>
    </w:p>
    <w:p w14:paraId="3261072D">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供应商名称（企业电子签章）:</w:t>
      </w:r>
      <w:r>
        <w:rPr>
          <w:rFonts w:hint="eastAsia" w:ascii="宋体" w:hAnsi="宋体"/>
          <w:color w:val="auto"/>
          <w:sz w:val="21"/>
          <w:szCs w:val="21"/>
          <w:highlight w:val="none"/>
          <w:u w:val="single"/>
        </w:rPr>
        <w:t xml:space="preserve">                     </w:t>
      </w:r>
    </w:p>
    <w:p w14:paraId="706E9632">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日期: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ab/>
      </w:r>
    </w:p>
    <w:p w14:paraId="33E7F0B7">
      <w:pPr>
        <w:jc w:val="center"/>
        <w:outlineLvl w:val="2"/>
        <w:rPr>
          <w:rFonts w:ascii="宋体" w:hAnsi="宋体" w:cs="宋体"/>
          <w:color w:val="auto"/>
          <w:sz w:val="28"/>
          <w:szCs w:val="28"/>
          <w:highlight w:val="none"/>
        </w:rPr>
      </w:pPr>
      <w:bookmarkStart w:id="172" w:name="_Toc13528"/>
      <w:bookmarkStart w:id="173" w:name="_Toc3660"/>
      <w:bookmarkStart w:id="174" w:name="_Toc4587"/>
      <w:bookmarkStart w:id="175" w:name="_Toc418"/>
      <w:r>
        <w:rPr>
          <w:rFonts w:hint="eastAsia" w:ascii="宋体" w:hAnsi="宋体" w:cs="宋体"/>
          <w:color w:val="auto"/>
          <w:sz w:val="28"/>
          <w:szCs w:val="28"/>
          <w:highlight w:val="none"/>
        </w:rPr>
        <w:t>二、投标报价表</w:t>
      </w:r>
    </w:p>
    <w:bookmarkEnd w:id="172"/>
    <w:bookmarkEnd w:id="173"/>
    <w:bookmarkEnd w:id="174"/>
    <w:bookmarkEnd w:id="175"/>
    <w:p w14:paraId="6F8A59E4">
      <w:pPr>
        <w:jc w:val="center"/>
        <w:outlineLvl w:val="2"/>
        <w:rPr>
          <w:rFonts w:ascii="宋体" w:hAnsi="宋体" w:cs="宋体"/>
          <w:color w:val="auto"/>
          <w:sz w:val="28"/>
          <w:szCs w:val="28"/>
          <w:highlight w:val="none"/>
        </w:rPr>
      </w:pPr>
      <w:bookmarkStart w:id="176" w:name="_Toc24290"/>
      <w:bookmarkStart w:id="177" w:name="_Toc454699307"/>
      <w:bookmarkStart w:id="178" w:name="_Toc240088609"/>
      <w:bookmarkStart w:id="179" w:name="_Toc240088470"/>
      <w:bookmarkStart w:id="180" w:name="_Toc699"/>
      <w:bookmarkStart w:id="181" w:name="_Toc317669240"/>
      <w:bookmarkStart w:id="182" w:name="_Toc241904704"/>
      <w:r>
        <w:rPr>
          <w:rFonts w:hint="eastAsia" w:ascii="宋体" w:hAnsi="宋体" w:cs="宋体"/>
          <w:color w:val="auto"/>
          <w:sz w:val="28"/>
          <w:szCs w:val="28"/>
          <w:highlight w:val="none"/>
        </w:rPr>
        <w:t>2.1</w:t>
      </w:r>
      <w:bookmarkEnd w:id="176"/>
      <w:bookmarkEnd w:id="177"/>
      <w:bookmarkEnd w:id="178"/>
      <w:bookmarkEnd w:id="179"/>
      <w:r>
        <w:rPr>
          <w:rFonts w:hint="eastAsia" w:ascii="宋体" w:hAnsi="宋体" w:cs="宋体"/>
          <w:color w:val="auto"/>
          <w:sz w:val="28"/>
          <w:szCs w:val="28"/>
          <w:highlight w:val="none"/>
        </w:rPr>
        <w:t>分项报价一览表</w:t>
      </w:r>
    </w:p>
    <w:p w14:paraId="377FCE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777E3EC5">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4D97F391">
      <w:pPr>
        <w:adjustRightInd w:val="0"/>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金额单位：元 /人民币 </w:t>
      </w:r>
    </w:p>
    <w:tbl>
      <w:tblPr>
        <w:tblStyle w:val="3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68"/>
        <w:gridCol w:w="1561"/>
        <w:gridCol w:w="1350"/>
        <w:gridCol w:w="2123"/>
        <w:gridCol w:w="1399"/>
      </w:tblGrid>
      <w:tr w14:paraId="0FD0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26BED4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6A4356C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内容</w:t>
            </w:r>
          </w:p>
        </w:tc>
        <w:tc>
          <w:tcPr>
            <w:tcW w:w="1561" w:type="dxa"/>
            <w:tcBorders>
              <w:top w:val="single" w:color="auto" w:sz="4" w:space="0"/>
              <w:left w:val="single" w:color="auto" w:sz="4" w:space="0"/>
              <w:bottom w:val="single" w:color="auto" w:sz="4" w:space="0"/>
              <w:right w:val="single" w:color="auto" w:sz="4" w:space="0"/>
            </w:tcBorders>
            <w:vAlign w:val="center"/>
          </w:tcPr>
          <w:p w14:paraId="24988D5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350" w:type="dxa"/>
            <w:tcBorders>
              <w:top w:val="single" w:color="auto" w:sz="4" w:space="0"/>
              <w:left w:val="single" w:color="auto" w:sz="4" w:space="0"/>
              <w:bottom w:val="single" w:color="auto" w:sz="4" w:space="0"/>
              <w:right w:val="single" w:color="auto" w:sz="4" w:space="0"/>
            </w:tcBorders>
            <w:vAlign w:val="center"/>
          </w:tcPr>
          <w:p w14:paraId="106FEB0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2123" w:type="dxa"/>
            <w:tcBorders>
              <w:top w:val="single" w:color="auto" w:sz="4" w:space="0"/>
              <w:left w:val="single" w:color="auto" w:sz="4" w:space="0"/>
              <w:bottom w:val="single" w:color="auto" w:sz="4" w:space="0"/>
              <w:right w:val="single" w:color="auto" w:sz="4" w:space="0"/>
            </w:tcBorders>
            <w:vAlign w:val="center"/>
          </w:tcPr>
          <w:p w14:paraId="3A8A40C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合计费用</w:t>
            </w:r>
          </w:p>
        </w:tc>
        <w:tc>
          <w:tcPr>
            <w:tcW w:w="1399" w:type="dxa"/>
            <w:tcBorders>
              <w:top w:val="single" w:color="auto" w:sz="4" w:space="0"/>
              <w:left w:val="single" w:color="auto" w:sz="4" w:space="0"/>
              <w:bottom w:val="single" w:color="auto" w:sz="4" w:space="0"/>
              <w:right w:val="single" w:color="auto" w:sz="4" w:space="0"/>
            </w:tcBorders>
            <w:vAlign w:val="center"/>
          </w:tcPr>
          <w:p w14:paraId="15C55E2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备注</w:t>
            </w:r>
          </w:p>
        </w:tc>
      </w:tr>
      <w:tr w14:paraId="42FA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2EB2DC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68" w:type="dxa"/>
            <w:tcBorders>
              <w:top w:val="single" w:color="auto" w:sz="4" w:space="0"/>
              <w:left w:val="single" w:color="auto" w:sz="4" w:space="0"/>
              <w:bottom w:val="single" w:color="auto" w:sz="4" w:space="0"/>
              <w:right w:val="single" w:color="auto" w:sz="4" w:space="0"/>
            </w:tcBorders>
            <w:vAlign w:val="center"/>
          </w:tcPr>
          <w:p w14:paraId="399D9B51">
            <w:pPr>
              <w:spacing w:line="360" w:lineRule="auto"/>
              <w:jc w:val="center"/>
              <w:rPr>
                <w:rFonts w:ascii="宋体" w:hAnsi="宋体" w:cs="宋体"/>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2281F52C">
            <w:pPr>
              <w:spacing w:line="360" w:lineRule="auto"/>
              <w:jc w:val="center"/>
              <w:rPr>
                <w:rFonts w:ascii="宋体" w:hAnsi="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0A09012A">
            <w:pPr>
              <w:spacing w:line="360" w:lineRule="auto"/>
              <w:jc w:val="center"/>
              <w:rPr>
                <w:rFonts w:ascii="宋体" w:hAnsi="宋体" w:cs="宋体"/>
                <w:color w:val="auto"/>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6FD617B1">
            <w:pPr>
              <w:spacing w:line="360" w:lineRule="auto"/>
              <w:jc w:val="center"/>
              <w:rPr>
                <w:rFonts w:ascii="宋体" w:hAnsi="宋体" w:cs="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2FE60693">
            <w:pPr>
              <w:spacing w:line="360" w:lineRule="auto"/>
              <w:jc w:val="center"/>
              <w:rPr>
                <w:rFonts w:ascii="宋体" w:hAnsi="宋体" w:cs="宋体"/>
                <w:color w:val="auto"/>
                <w:sz w:val="24"/>
                <w:szCs w:val="24"/>
                <w:highlight w:val="none"/>
              </w:rPr>
            </w:pPr>
          </w:p>
        </w:tc>
      </w:tr>
      <w:tr w14:paraId="018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4D6B393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68" w:type="dxa"/>
            <w:tcBorders>
              <w:top w:val="single" w:color="auto" w:sz="4" w:space="0"/>
              <w:left w:val="single" w:color="auto" w:sz="4" w:space="0"/>
              <w:bottom w:val="single" w:color="auto" w:sz="4" w:space="0"/>
              <w:right w:val="single" w:color="auto" w:sz="4" w:space="0"/>
            </w:tcBorders>
            <w:vAlign w:val="center"/>
          </w:tcPr>
          <w:p w14:paraId="48BE1140">
            <w:pPr>
              <w:spacing w:line="360" w:lineRule="auto"/>
              <w:jc w:val="center"/>
              <w:rPr>
                <w:rFonts w:ascii="宋体" w:hAnsi="宋体" w:cs="宋体"/>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2F1E6477">
            <w:pPr>
              <w:spacing w:line="360" w:lineRule="auto"/>
              <w:jc w:val="center"/>
              <w:rPr>
                <w:rFonts w:ascii="宋体" w:hAnsi="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21A616D1">
            <w:pPr>
              <w:spacing w:line="360" w:lineRule="auto"/>
              <w:jc w:val="center"/>
              <w:rPr>
                <w:rFonts w:ascii="宋体" w:hAnsi="宋体" w:cs="宋体"/>
                <w:color w:val="auto"/>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50EB5AEE">
            <w:pPr>
              <w:spacing w:line="360" w:lineRule="auto"/>
              <w:jc w:val="center"/>
              <w:rPr>
                <w:rFonts w:ascii="宋体" w:hAnsi="宋体" w:cs="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2CE0820D">
            <w:pPr>
              <w:spacing w:line="360" w:lineRule="auto"/>
              <w:jc w:val="center"/>
              <w:rPr>
                <w:rFonts w:ascii="宋体" w:hAnsi="宋体" w:cs="宋体"/>
                <w:color w:val="auto"/>
                <w:sz w:val="24"/>
                <w:szCs w:val="24"/>
                <w:highlight w:val="none"/>
              </w:rPr>
            </w:pPr>
          </w:p>
        </w:tc>
      </w:tr>
      <w:tr w14:paraId="244C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35C28D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68" w:type="dxa"/>
            <w:tcBorders>
              <w:top w:val="single" w:color="auto" w:sz="4" w:space="0"/>
              <w:left w:val="single" w:color="auto" w:sz="4" w:space="0"/>
              <w:bottom w:val="single" w:color="auto" w:sz="4" w:space="0"/>
              <w:right w:val="single" w:color="auto" w:sz="4" w:space="0"/>
            </w:tcBorders>
            <w:vAlign w:val="center"/>
          </w:tcPr>
          <w:p w14:paraId="49E2831D">
            <w:pPr>
              <w:spacing w:line="360" w:lineRule="auto"/>
              <w:jc w:val="center"/>
              <w:rPr>
                <w:rFonts w:ascii="宋体" w:hAnsi="宋体" w:cs="宋体"/>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41E18505">
            <w:pPr>
              <w:spacing w:line="360" w:lineRule="auto"/>
              <w:jc w:val="center"/>
              <w:rPr>
                <w:rFonts w:ascii="宋体" w:hAnsi="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B948A6B">
            <w:pPr>
              <w:spacing w:line="360" w:lineRule="auto"/>
              <w:jc w:val="center"/>
              <w:rPr>
                <w:rFonts w:ascii="宋体" w:hAnsi="宋体" w:cs="宋体"/>
                <w:color w:val="auto"/>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2506A909">
            <w:pPr>
              <w:spacing w:line="360" w:lineRule="auto"/>
              <w:jc w:val="center"/>
              <w:rPr>
                <w:rFonts w:ascii="宋体" w:hAnsi="宋体" w:cs="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2A4C9370">
            <w:pPr>
              <w:spacing w:line="360" w:lineRule="auto"/>
              <w:jc w:val="center"/>
              <w:rPr>
                <w:rFonts w:ascii="宋体" w:hAnsi="宋体" w:cs="宋体"/>
                <w:color w:val="auto"/>
                <w:sz w:val="24"/>
                <w:szCs w:val="24"/>
                <w:highlight w:val="none"/>
              </w:rPr>
            </w:pPr>
          </w:p>
        </w:tc>
      </w:tr>
      <w:tr w14:paraId="6F51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E30182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768" w:type="dxa"/>
            <w:tcBorders>
              <w:top w:val="single" w:color="auto" w:sz="4" w:space="0"/>
              <w:left w:val="single" w:color="auto" w:sz="4" w:space="0"/>
              <w:bottom w:val="single" w:color="auto" w:sz="4" w:space="0"/>
              <w:right w:val="single" w:color="auto" w:sz="4" w:space="0"/>
            </w:tcBorders>
            <w:vAlign w:val="center"/>
          </w:tcPr>
          <w:p w14:paraId="44160DD8">
            <w:pPr>
              <w:spacing w:line="360" w:lineRule="auto"/>
              <w:jc w:val="center"/>
              <w:rPr>
                <w:rFonts w:ascii="宋体" w:hAnsi="宋体" w:cs="宋体"/>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4E8E6DB9">
            <w:pPr>
              <w:spacing w:line="360" w:lineRule="auto"/>
              <w:jc w:val="center"/>
              <w:rPr>
                <w:rFonts w:ascii="宋体" w:hAnsi="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2CB6EF63">
            <w:pPr>
              <w:spacing w:line="360" w:lineRule="auto"/>
              <w:jc w:val="center"/>
              <w:rPr>
                <w:rFonts w:ascii="宋体" w:hAnsi="宋体" w:cs="宋体"/>
                <w:color w:val="auto"/>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5A549168">
            <w:pPr>
              <w:spacing w:line="360" w:lineRule="auto"/>
              <w:jc w:val="center"/>
              <w:rPr>
                <w:rFonts w:ascii="宋体" w:hAnsi="宋体" w:cs="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14853362">
            <w:pPr>
              <w:spacing w:line="360" w:lineRule="auto"/>
              <w:jc w:val="center"/>
              <w:rPr>
                <w:rFonts w:ascii="宋体" w:hAnsi="宋体" w:cs="宋体"/>
                <w:color w:val="auto"/>
                <w:sz w:val="24"/>
                <w:szCs w:val="24"/>
                <w:highlight w:val="none"/>
              </w:rPr>
            </w:pPr>
          </w:p>
        </w:tc>
      </w:tr>
      <w:tr w14:paraId="5837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F14861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768" w:type="dxa"/>
            <w:tcBorders>
              <w:top w:val="single" w:color="auto" w:sz="4" w:space="0"/>
              <w:left w:val="single" w:color="auto" w:sz="4" w:space="0"/>
              <w:bottom w:val="single" w:color="auto" w:sz="4" w:space="0"/>
              <w:right w:val="single" w:color="auto" w:sz="4" w:space="0"/>
            </w:tcBorders>
            <w:vAlign w:val="center"/>
          </w:tcPr>
          <w:p w14:paraId="744FEAE1">
            <w:pPr>
              <w:spacing w:line="360" w:lineRule="auto"/>
              <w:jc w:val="center"/>
              <w:rPr>
                <w:rFonts w:ascii="宋体" w:hAnsi="宋体" w:cs="宋体"/>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150C4BEE">
            <w:pPr>
              <w:spacing w:line="360" w:lineRule="auto"/>
              <w:jc w:val="center"/>
              <w:rPr>
                <w:rFonts w:ascii="宋体" w:hAnsi="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6870FA9">
            <w:pPr>
              <w:spacing w:line="360" w:lineRule="auto"/>
              <w:jc w:val="center"/>
              <w:rPr>
                <w:rFonts w:ascii="宋体" w:hAnsi="宋体" w:cs="宋体"/>
                <w:color w:val="auto"/>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77AB52B5">
            <w:pPr>
              <w:spacing w:line="360" w:lineRule="auto"/>
              <w:jc w:val="center"/>
              <w:rPr>
                <w:rFonts w:ascii="宋体" w:hAnsi="宋体" w:cs="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007F092F">
            <w:pPr>
              <w:spacing w:line="360" w:lineRule="auto"/>
              <w:jc w:val="center"/>
              <w:rPr>
                <w:rFonts w:ascii="宋体" w:hAnsi="宋体" w:cs="宋体"/>
                <w:color w:val="auto"/>
                <w:sz w:val="24"/>
                <w:szCs w:val="24"/>
                <w:highlight w:val="none"/>
              </w:rPr>
            </w:pPr>
          </w:p>
        </w:tc>
      </w:tr>
      <w:tr w14:paraId="41B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E56993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768" w:type="dxa"/>
            <w:tcBorders>
              <w:top w:val="single" w:color="auto" w:sz="4" w:space="0"/>
              <w:left w:val="single" w:color="auto" w:sz="4" w:space="0"/>
              <w:bottom w:val="single" w:color="auto" w:sz="4" w:space="0"/>
              <w:right w:val="single" w:color="auto" w:sz="4" w:space="0"/>
            </w:tcBorders>
            <w:vAlign w:val="center"/>
          </w:tcPr>
          <w:p w14:paraId="3C985D5A">
            <w:pPr>
              <w:spacing w:line="360" w:lineRule="auto"/>
              <w:jc w:val="center"/>
              <w:rPr>
                <w:rFonts w:ascii="宋体" w:hAnsi="宋体" w:cs="宋体"/>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083DCC09">
            <w:pPr>
              <w:spacing w:line="360" w:lineRule="auto"/>
              <w:jc w:val="center"/>
              <w:rPr>
                <w:rFonts w:ascii="宋体" w:hAnsi="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66B487B4">
            <w:pPr>
              <w:spacing w:line="360" w:lineRule="auto"/>
              <w:jc w:val="center"/>
              <w:rPr>
                <w:rFonts w:ascii="宋体" w:hAnsi="宋体" w:cs="宋体"/>
                <w:color w:val="auto"/>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0B1B9B93">
            <w:pPr>
              <w:spacing w:line="360" w:lineRule="auto"/>
              <w:jc w:val="center"/>
              <w:rPr>
                <w:rFonts w:ascii="宋体" w:hAnsi="宋体" w:cs="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0E0D60EF">
            <w:pPr>
              <w:spacing w:line="360" w:lineRule="auto"/>
              <w:jc w:val="center"/>
              <w:rPr>
                <w:rFonts w:ascii="宋体" w:hAnsi="宋体" w:cs="宋体"/>
                <w:color w:val="auto"/>
                <w:sz w:val="24"/>
                <w:szCs w:val="24"/>
                <w:highlight w:val="none"/>
              </w:rPr>
            </w:pPr>
          </w:p>
        </w:tc>
      </w:tr>
    </w:tbl>
    <w:p w14:paraId="14190AA0">
      <w:pPr>
        <w:adjustRightInd w:val="0"/>
        <w:snapToGrid w:val="0"/>
        <w:spacing w:line="360" w:lineRule="auto"/>
        <w:rPr>
          <w:rFonts w:hint="eastAsia" w:ascii="宋体" w:hAnsi="宋体" w:eastAsia="宋体" w:cs="宋体"/>
          <w:color w:val="auto"/>
          <w:sz w:val="21"/>
          <w:szCs w:val="21"/>
          <w:highlight w:val="none"/>
        </w:rPr>
      </w:pPr>
    </w:p>
    <w:p w14:paraId="3F4A76A9">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7841329">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076FF317">
      <w:pPr>
        <w:spacing w:line="360" w:lineRule="auto"/>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87191E7">
      <w:pPr>
        <w:spacing w:line="360" w:lineRule="auto"/>
        <w:rPr>
          <w:rFonts w:ascii="宋体" w:hAnsi="宋体"/>
          <w:color w:val="auto"/>
          <w:sz w:val="24"/>
          <w:highlight w:val="none"/>
        </w:rPr>
      </w:pPr>
      <w:r>
        <w:rPr>
          <w:rFonts w:hint="eastAsia" w:ascii="宋体" w:hAnsi="宋体"/>
          <w:color w:val="auto"/>
          <w:sz w:val="24"/>
          <w:highlight w:val="none"/>
        </w:rPr>
        <w:tab/>
      </w:r>
    </w:p>
    <w:p w14:paraId="16526776">
      <w:pPr>
        <w:pStyle w:val="52"/>
        <w:ind w:firstLine="480"/>
        <w:rPr>
          <w:rFonts w:ascii="宋体" w:hAnsi="宋体"/>
          <w:color w:val="auto"/>
          <w:sz w:val="24"/>
          <w:highlight w:val="none"/>
        </w:rPr>
        <w:sectPr>
          <w:headerReference r:id="rId3" w:type="default"/>
          <w:footerReference r:id="rId4" w:type="default"/>
          <w:pgSz w:w="11906" w:h="16838"/>
          <w:pgMar w:top="1247" w:right="907" w:bottom="1247" w:left="964" w:header="851" w:footer="992" w:gutter="0"/>
          <w:cols w:space="0" w:num="1"/>
          <w:rtlGutter w:val="0"/>
          <w:docGrid w:type="lines" w:linePitch="315" w:charSpace="0"/>
        </w:sectPr>
      </w:pPr>
    </w:p>
    <w:p w14:paraId="7ABA146B">
      <w:pPr>
        <w:pStyle w:val="4"/>
        <w:spacing w:line="360" w:lineRule="auto"/>
        <w:ind w:left="839"/>
        <w:jc w:val="center"/>
        <w:rPr>
          <w:rFonts w:ascii="宋体" w:hAnsi="宋体" w:eastAsia="宋体" w:cs="宋体"/>
          <w:bCs/>
          <w:color w:val="auto"/>
          <w:sz w:val="24"/>
          <w:szCs w:val="24"/>
          <w:highlight w:val="none"/>
        </w:rPr>
      </w:pPr>
      <w:bookmarkStart w:id="183" w:name="_Toc271793026"/>
      <w:bookmarkStart w:id="184" w:name="_Toc5396"/>
      <w:bookmarkStart w:id="185" w:name="_Toc5899"/>
      <w:bookmarkStart w:id="186" w:name="_Toc413335879"/>
      <w:bookmarkStart w:id="187" w:name="_Toc6056"/>
      <w:bookmarkStart w:id="188" w:name="_Toc221424052"/>
      <w:bookmarkStart w:id="189" w:name="_Toc11172"/>
      <w:r>
        <w:rPr>
          <w:rFonts w:hint="eastAsia" w:ascii="宋体" w:hAnsi="宋体" w:cs="宋体"/>
          <w:color w:val="auto"/>
          <w:sz w:val="28"/>
          <w:szCs w:val="28"/>
          <w:highlight w:val="none"/>
        </w:rPr>
        <w:t>2.</w:t>
      </w:r>
      <w:bookmarkStart w:id="190" w:name="_Toc17214"/>
      <w:bookmarkStart w:id="191" w:name="_Toc15767"/>
      <w:r>
        <w:rPr>
          <w:rFonts w:hint="eastAsia" w:ascii="宋体" w:hAnsi="宋体" w:cs="宋体"/>
          <w:color w:val="auto"/>
          <w:sz w:val="28"/>
          <w:szCs w:val="28"/>
          <w:highlight w:val="none"/>
          <w:lang w:val="en-US" w:eastAsia="zh-CN"/>
        </w:rPr>
        <w:t>2</w:t>
      </w:r>
      <w:r>
        <w:rPr>
          <w:rFonts w:hint="eastAsia" w:ascii="宋体" w:hAnsi="宋体" w:eastAsia="宋体" w:cs="宋体"/>
          <w:bCs/>
          <w:color w:val="auto"/>
          <w:sz w:val="28"/>
          <w:szCs w:val="28"/>
          <w:highlight w:val="none"/>
        </w:rPr>
        <w:t>产品规格一览表</w:t>
      </w:r>
      <w:bookmarkEnd w:id="190"/>
      <w:bookmarkEnd w:id="191"/>
    </w:p>
    <w:p w14:paraId="42127A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6115D5D6">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31EBE761">
      <w:pPr>
        <w:adjustRightInd w:val="0"/>
        <w:snapToGrid w:val="0"/>
        <w:spacing w:line="360" w:lineRule="auto"/>
        <w:ind w:firstLine="210" w:firstLineChars="100"/>
        <w:rPr>
          <w:rFonts w:hint="eastAsia" w:ascii="宋体" w:hAnsi="宋体" w:eastAsia="宋体" w:cs="宋体"/>
          <w:color w:val="auto"/>
          <w:sz w:val="21"/>
          <w:szCs w:val="21"/>
          <w:highlight w:val="none"/>
        </w:rPr>
      </w:pPr>
    </w:p>
    <w:tbl>
      <w:tblPr>
        <w:tblStyle w:val="30"/>
        <w:tblW w:w="94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468"/>
        <w:gridCol w:w="1890"/>
        <w:gridCol w:w="2733"/>
        <w:gridCol w:w="1258"/>
        <w:gridCol w:w="1255"/>
      </w:tblGrid>
      <w:tr w14:paraId="5AB47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54138D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68" w:type="dxa"/>
            <w:tcBorders>
              <w:top w:val="single" w:color="auto" w:sz="4" w:space="0"/>
              <w:left w:val="single" w:color="auto" w:sz="4" w:space="0"/>
              <w:bottom w:val="single" w:color="auto" w:sz="4" w:space="0"/>
              <w:right w:val="single" w:color="auto" w:sz="4" w:space="0"/>
            </w:tcBorders>
            <w:noWrap/>
            <w:vAlign w:val="center"/>
          </w:tcPr>
          <w:p w14:paraId="5F4B246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0427CF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2733" w:type="dxa"/>
            <w:tcBorders>
              <w:top w:val="single" w:color="auto" w:sz="4" w:space="0"/>
              <w:left w:val="single" w:color="auto" w:sz="4" w:space="0"/>
              <w:bottom w:val="single" w:color="auto" w:sz="4" w:space="0"/>
              <w:right w:val="single" w:color="auto" w:sz="4" w:space="0"/>
            </w:tcBorders>
            <w:noWrap/>
            <w:vAlign w:val="center"/>
          </w:tcPr>
          <w:p w14:paraId="09A126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p>
        </w:tc>
        <w:tc>
          <w:tcPr>
            <w:tcW w:w="1258" w:type="dxa"/>
            <w:tcBorders>
              <w:top w:val="single" w:color="auto" w:sz="4" w:space="0"/>
              <w:left w:val="single" w:color="auto" w:sz="4" w:space="0"/>
              <w:bottom w:val="single" w:color="auto" w:sz="4" w:space="0"/>
              <w:right w:val="single" w:color="auto" w:sz="4" w:space="0"/>
            </w:tcBorders>
            <w:noWrap/>
            <w:vAlign w:val="center"/>
          </w:tcPr>
          <w:p w14:paraId="19090B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tc>
        <w:tc>
          <w:tcPr>
            <w:tcW w:w="1255" w:type="dxa"/>
            <w:tcBorders>
              <w:top w:val="single" w:color="auto" w:sz="4" w:space="0"/>
              <w:left w:val="single" w:color="auto" w:sz="4" w:space="0"/>
              <w:bottom w:val="single" w:color="auto" w:sz="4" w:space="0"/>
              <w:right w:val="single" w:color="auto" w:sz="4" w:space="0"/>
            </w:tcBorders>
            <w:noWrap/>
            <w:vAlign w:val="center"/>
          </w:tcPr>
          <w:p w14:paraId="3D08F6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原产地</w:t>
            </w:r>
          </w:p>
        </w:tc>
      </w:tr>
      <w:tr w14:paraId="37D49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4E7BD6D0">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3BF90EB1">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15500375">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2E09A130">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729A1574">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59552CBD">
            <w:pPr>
              <w:spacing w:line="360" w:lineRule="auto"/>
              <w:rPr>
                <w:rFonts w:hint="eastAsia" w:ascii="宋体" w:hAnsi="宋体" w:eastAsia="宋体" w:cs="宋体"/>
                <w:color w:val="auto"/>
                <w:sz w:val="21"/>
                <w:szCs w:val="21"/>
                <w:highlight w:val="none"/>
              </w:rPr>
            </w:pPr>
          </w:p>
        </w:tc>
      </w:tr>
      <w:tr w14:paraId="142E5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3030D828">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2672521D">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39D582BE">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3BF89D23">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7FB55FAA">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642C60EC">
            <w:pPr>
              <w:spacing w:line="360" w:lineRule="auto"/>
              <w:rPr>
                <w:rFonts w:hint="eastAsia" w:ascii="宋体" w:hAnsi="宋体" w:eastAsia="宋体" w:cs="宋体"/>
                <w:color w:val="auto"/>
                <w:sz w:val="21"/>
                <w:szCs w:val="21"/>
                <w:highlight w:val="none"/>
              </w:rPr>
            </w:pPr>
          </w:p>
        </w:tc>
      </w:tr>
      <w:tr w14:paraId="4B393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67ECB406">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13820C05">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578733EA">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57813ED1">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7B1439C0">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56C63DCE">
            <w:pPr>
              <w:spacing w:line="360" w:lineRule="auto"/>
              <w:rPr>
                <w:rFonts w:hint="eastAsia" w:ascii="宋体" w:hAnsi="宋体" w:eastAsia="宋体" w:cs="宋体"/>
                <w:color w:val="auto"/>
                <w:sz w:val="21"/>
                <w:szCs w:val="21"/>
                <w:highlight w:val="none"/>
              </w:rPr>
            </w:pPr>
          </w:p>
        </w:tc>
      </w:tr>
      <w:tr w14:paraId="62B42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632FBBA0">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75E1B7C1">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0E1F6B55">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43E49265">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571D4C42">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5A2FA274">
            <w:pPr>
              <w:spacing w:line="360" w:lineRule="auto"/>
              <w:rPr>
                <w:rFonts w:hint="eastAsia" w:ascii="宋体" w:hAnsi="宋体" w:eastAsia="宋体" w:cs="宋体"/>
                <w:color w:val="auto"/>
                <w:sz w:val="21"/>
                <w:szCs w:val="21"/>
                <w:highlight w:val="none"/>
              </w:rPr>
            </w:pPr>
          </w:p>
        </w:tc>
      </w:tr>
      <w:tr w14:paraId="3A943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247C10EC">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660EBB2E">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184DEAF0">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4B259554">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1C936A3B">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42CFE6DF">
            <w:pPr>
              <w:spacing w:line="360" w:lineRule="auto"/>
              <w:rPr>
                <w:rFonts w:hint="eastAsia" w:ascii="宋体" w:hAnsi="宋体" w:eastAsia="宋体" w:cs="宋体"/>
                <w:color w:val="auto"/>
                <w:sz w:val="21"/>
                <w:szCs w:val="21"/>
                <w:highlight w:val="none"/>
              </w:rPr>
            </w:pPr>
          </w:p>
        </w:tc>
      </w:tr>
      <w:tr w14:paraId="20EEB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0548202A">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7EECC688">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3D88BC7B">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10A5C3A2">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2BB3557E">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7B34CDAB">
            <w:pPr>
              <w:spacing w:line="360" w:lineRule="auto"/>
              <w:rPr>
                <w:rFonts w:hint="eastAsia" w:ascii="宋体" w:hAnsi="宋体" w:eastAsia="宋体" w:cs="宋体"/>
                <w:color w:val="auto"/>
                <w:sz w:val="21"/>
                <w:szCs w:val="21"/>
                <w:highlight w:val="none"/>
              </w:rPr>
            </w:pPr>
          </w:p>
        </w:tc>
      </w:tr>
      <w:tr w14:paraId="67A74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0AA1161F">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19D5945A">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64B52400">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39D7D6AC">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7C3C86A6">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469D6276">
            <w:pPr>
              <w:spacing w:line="360" w:lineRule="auto"/>
              <w:rPr>
                <w:rFonts w:hint="eastAsia" w:ascii="宋体" w:hAnsi="宋体" w:eastAsia="宋体" w:cs="宋体"/>
                <w:color w:val="auto"/>
                <w:sz w:val="21"/>
                <w:szCs w:val="21"/>
                <w:highlight w:val="none"/>
              </w:rPr>
            </w:pPr>
          </w:p>
        </w:tc>
      </w:tr>
      <w:tr w14:paraId="58E54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3695DBDF">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58E33712">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6941CBF3">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0FF22D65">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174B56B6">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44497EF1">
            <w:pPr>
              <w:spacing w:line="360" w:lineRule="auto"/>
              <w:rPr>
                <w:rFonts w:hint="eastAsia" w:ascii="宋体" w:hAnsi="宋体" w:eastAsia="宋体" w:cs="宋体"/>
                <w:color w:val="auto"/>
                <w:sz w:val="21"/>
                <w:szCs w:val="21"/>
                <w:highlight w:val="none"/>
              </w:rPr>
            </w:pPr>
          </w:p>
        </w:tc>
      </w:tr>
      <w:tr w14:paraId="02C08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4F948BF9">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1B7A9330">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7FC80D38">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4119DBB6">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52767D0D">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26917238">
            <w:pPr>
              <w:spacing w:line="360" w:lineRule="auto"/>
              <w:rPr>
                <w:rFonts w:hint="eastAsia" w:ascii="宋体" w:hAnsi="宋体" w:eastAsia="宋体" w:cs="宋体"/>
                <w:color w:val="auto"/>
                <w:sz w:val="21"/>
                <w:szCs w:val="21"/>
                <w:highlight w:val="none"/>
              </w:rPr>
            </w:pPr>
          </w:p>
        </w:tc>
      </w:tr>
      <w:tr w14:paraId="7D407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801" w:type="dxa"/>
            <w:tcBorders>
              <w:top w:val="single" w:color="auto" w:sz="4" w:space="0"/>
              <w:left w:val="single" w:color="auto" w:sz="4" w:space="0"/>
              <w:bottom w:val="single" w:color="auto" w:sz="4" w:space="0"/>
              <w:right w:val="single" w:color="auto" w:sz="4" w:space="0"/>
            </w:tcBorders>
            <w:noWrap/>
          </w:tcPr>
          <w:p w14:paraId="5F8948DA">
            <w:pPr>
              <w:spacing w:line="360" w:lineRule="auto"/>
              <w:rPr>
                <w:rFonts w:hint="eastAsia" w:ascii="宋体" w:hAnsi="宋体" w:eastAsia="宋体" w:cs="宋体"/>
                <w:color w:val="auto"/>
                <w:sz w:val="21"/>
                <w:szCs w:val="21"/>
                <w:highlight w:val="none"/>
              </w:rPr>
            </w:pPr>
          </w:p>
        </w:tc>
        <w:tc>
          <w:tcPr>
            <w:tcW w:w="1468" w:type="dxa"/>
            <w:tcBorders>
              <w:top w:val="single" w:color="auto" w:sz="4" w:space="0"/>
              <w:left w:val="single" w:color="auto" w:sz="4" w:space="0"/>
              <w:bottom w:val="single" w:color="auto" w:sz="4" w:space="0"/>
              <w:right w:val="single" w:color="auto" w:sz="4" w:space="0"/>
            </w:tcBorders>
            <w:noWrap/>
          </w:tcPr>
          <w:p w14:paraId="2DDBFF99">
            <w:pPr>
              <w:spacing w:line="360" w:lineRule="auto"/>
              <w:rPr>
                <w:rFonts w:hint="eastAsia" w:ascii="宋体" w:hAnsi="宋体" w:eastAsia="宋体" w:cs="宋体"/>
                <w:color w:val="auto"/>
                <w:sz w:val="21"/>
                <w:szCs w:val="21"/>
                <w:highlight w:val="none"/>
              </w:rPr>
            </w:pPr>
          </w:p>
        </w:tc>
        <w:tc>
          <w:tcPr>
            <w:tcW w:w="1890" w:type="dxa"/>
            <w:tcBorders>
              <w:top w:val="single" w:color="auto" w:sz="4" w:space="0"/>
              <w:left w:val="single" w:color="auto" w:sz="4" w:space="0"/>
              <w:bottom w:val="single" w:color="auto" w:sz="4" w:space="0"/>
              <w:right w:val="single" w:color="auto" w:sz="4" w:space="0"/>
            </w:tcBorders>
            <w:noWrap/>
          </w:tcPr>
          <w:p w14:paraId="6ADE1FD4">
            <w:pPr>
              <w:spacing w:line="360" w:lineRule="auto"/>
              <w:rPr>
                <w:rFonts w:hint="eastAsia" w:ascii="宋体" w:hAnsi="宋体" w:eastAsia="宋体" w:cs="宋体"/>
                <w:color w:val="auto"/>
                <w:sz w:val="21"/>
                <w:szCs w:val="21"/>
                <w:highlight w:val="none"/>
              </w:rPr>
            </w:pPr>
          </w:p>
        </w:tc>
        <w:tc>
          <w:tcPr>
            <w:tcW w:w="2733" w:type="dxa"/>
            <w:tcBorders>
              <w:top w:val="single" w:color="auto" w:sz="4" w:space="0"/>
              <w:left w:val="single" w:color="auto" w:sz="4" w:space="0"/>
              <w:bottom w:val="single" w:color="auto" w:sz="4" w:space="0"/>
              <w:right w:val="single" w:color="auto" w:sz="4" w:space="0"/>
            </w:tcBorders>
            <w:noWrap/>
          </w:tcPr>
          <w:p w14:paraId="7358C865">
            <w:pPr>
              <w:spacing w:line="360" w:lineRule="auto"/>
              <w:rPr>
                <w:rFonts w:hint="eastAsia" w:ascii="宋体" w:hAnsi="宋体" w:eastAsia="宋体" w:cs="宋体"/>
                <w:color w:val="auto"/>
                <w:sz w:val="21"/>
                <w:szCs w:val="21"/>
                <w:highlight w:val="none"/>
              </w:rPr>
            </w:pPr>
          </w:p>
        </w:tc>
        <w:tc>
          <w:tcPr>
            <w:tcW w:w="1258" w:type="dxa"/>
            <w:tcBorders>
              <w:top w:val="single" w:color="auto" w:sz="4" w:space="0"/>
              <w:left w:val="single" w:color="auto" w:sz="4" w:space="0"/>
              <w:bottom w:val="single" w:color="auto" w:sz="4" w:space="0"/>
              <w:right w:val="single" w:color="auto" w:sz="4" w:space="0"/>
            </w:tcBorders>
            <w:noWrap/>
          </w:tcPr>
          <w:p w14:paraId="1ABD2335">
            <w:pPr>
              <w:spacing w:line="360" w:lineRule="auto"/>
              <w:rPr>
                <w:rFonts w:hint="eastAsia" w:ascii="宋体" w:hAnsi="宋体" w:eastAsia="宋体" w:cs="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tcPr>
          <w:p w14:paraId="664C597F">
            <w:pPr>
              <w:spacing w:line="360" w:lineRule="auto"/>
              <w:rPr>
                <w:rFonts w:hint="eastAsia" w:ascii="宋体" w:hAnsi="宋体" w:eastAsia="宋体" w:cs="宋体"/>
                <w:color w:val="auto"/>
                <w:sz w:val="21"/>
                <w:szCs w:val="21"/>
                <w:highlight w:val="none"/>
              </w:rPr>
            </w:pPr>
          </w:p>
        </w:tc>
      </w:tr>
    </w:tbl>
    <w:p w14:paraId="009B77CB">
      <w:pPr>
        <w:jc w:val="center"/>
        <w:outlineLvl w:val="2"/>
        <w:rPr>
          <w:rFonts w:hint="eastAsia" w:ascii="宋体" w:hAnsi="宋体" w:eastAsia="宋体" w:cs="宋体"/>
          <w:color w:val="auto"/>
          <w:sz w:val="21"/>
          <w:szCs w:val="21"/>
          <w:highlight w:val="none"/>
        </w:rPr>
      </w:pPr>
    </w:p>
    <w:p w14:paraId="52202E7B">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CCCED6C">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150456DC">
      <w:pPr>
        <w:spacing w:line="360" w:lineRule="auto"/>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569DE0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产品</w:t>
      </w:r>
      <w:r>
        <w:rPr>
          <w:rFonts w:hint="eastAsia" w:ascii="宋体" w:hAnsi="宋体" w:eastAsia="宋体" w:cs="宋体"/>
          <w:b/>
          <w:bCs/>
          <w:color w:val="auto"/>
          <w:sz w:val="21"/>
          <w:szCs w:val="21"/>
          <w:highlight w:val="none"/>
        </w:rPr>
        <w:t>规格参数如有详细描述可另做说明。</w:t>
      </w:r>
    </w:p>
    <w:p w14:paraId="2A4D3A73">
      <w:pPr>
        <w:pStyle w:val="3"/>
        <w:spacing w:before="0" w:after="0" w:line="360" w:lineRule="auto"/>
        <w:ind w:left="840"/>
        <w:jc w:val="center"/>
        <w:rPr>
          <w:rFonts w:ascii="宋体" w:hAnsi="宋体" w:cs="宋体"/>
          <w:color w:val="auto"/>
          <w:sz w:val="28"/>
          <w:szCs w:val="28"/>
          <w:highlight w:val="none"/>
        </w:rPr>
      </w:pPr>
    </w:p>
    <w:p w14:paraId="34CDD6D3">
      <w:pPr>
        <w:jc w:val="center"/>
        <w:outlineLvl w:val="2"/>
        <w:rPr>
          <w:rFonts w:ascii="宋体" w:hAnsi="宋体" w:cs="宋体"/>
          <w:color w:val="auto"/>
          <w:sz w:val="28"/>
          <w:szCs w:val="28"/>
          <w:highlight w:val="none"/>
        </w:rPr>
      </w:pPr>
    </w:p>
    <w:p w14:paraId="33EBE949">
      <w:pPr>
        <w:jc w:val="center"/>
        <w:outlineLvl w:val="2"/>
        <w:rPr>
          <w:rFonts w:ascii="宋体" w:hAnsi="宋体" w:cs="宋体"/>
          <w:color w:val="auto"/>
          <w:sz w:val="28"/>
          <w:szCs w:val="28"/>
          <w:highlight w:val="none"/>
        </w:rPr>
      </w:pPr>
    </w:p>
    <w:p w14:paraId="36F2BF22">
      <w:pPr>
        <w:tabs>
          <w:tab w:val="left" w:pos="3483"/>
        </w:tabs>
        <w:jc w:val="left"/>
        <w:outlineLvl w:val="2"/>
        <w:rPr>
          <w:rFonts w:hint="eastAsia" w:ascii="宋体" w:hAnsi="宋体" w:eastAsia="宋体" w:cs="宋体"/>
          <w:color w:val="auto"/>
          <w:sz w:val="28"/>
          <w:szCs w:val="28"/>
          <w:highlight w:val="none"/>
          <w:lang w:eastAsia="zh-CN"/>
        </w:rPr>
      </w:pPr>
    </w:p>
    <w:p w14:paraId="6383115C">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49FA75FC">
      <w:pPr>
        <w:jc w:val="center"/>
        <w:outlineLvl w:val="2"/>
        <w:rPr>
          <w:rFonts w:hint="eastAsia" w:ascii="宋体" w:hAnsi="宋体" w:cs="宋体"/>
          <w:color w:val="auto"/>
          <w:sz w:val="28"/>
          <w:szCs w:val="28"/>
          <w:highlight w:val="none"/>
        </w:rPr>
      </w:pPr>
    </w:p>
    <w:p w14:paraId="39892EBA">
      <w:pPr>
        <w:pStyle w:val="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备品备件、专用工具和消耗品价格表</w:t>
      </w:r>
    </w:p>
    <w:p w14:paraId="6DB24C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2A3BD5C8">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3A5168F4">
      <w:pPr>
        <w:adjustRightInd w:val="0"/>
        <w:snapToGrid w:val="0"/>
        <w:spacing w:line="360" w:lineRule="auto"/>
        <w:rPr>
          <w:rFonts w:hint="eastAsia" w:ascii="宋体" w:hAnsi="宋体" w:eastAsia="宋体" w:cs="宋体"/>
          <w:color w:val="auto"/>
          <w:sz w:val="21"/>
          <w:szCs w:val="21"/>
          <w:highlight w:val="none"/>
        </w:rPr>
      </w:pPr>
    </w:p>
    <w:p w14:paraId="259C449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金额单位：元 /人民币 </w:t>
      </w:r>
    </w:p>
    <w:tbl>
      <w:tblPr>
        <w:tblStyle w:val="3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30"/>
        <w:gridCol w:w="1360"/>
        <w:gridCol w:w="1276"/>
        <w:gridCol w:w="877"/>
        <w:gridCol w:w="877"/>
        <w:gridCol w:w="877"/>
        <w:gridCol w:w="877"/>
        <w:gridCol w:w="877"/>
      </w:tblGrid>
      <w:tr w14:paraId="328B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ign w:val="center"/>
          </w:tcPr>
          <w:p w14:paraId="67A4787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noWrap/>
            <w:vAlign w:val="center"/>
          </w:tcPr>
          <w:p w14:paraId="7031ECC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60" w:type="dxa"/>
            <w:noWrap/>
            <w:vAlign w:val="center"/>
          </w:tcPr>
          <w:p w14:paraId="1568185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76" w:type="dxa"/>
            <w:noWrap/>
            <w:vAlign w:val="center"/>
          </w:tcPr>
          <w:p w14:paraId="2B91F403">
            <w:pPr>
              <w:adjustRightInd w:val="0"/>
              <w:snapToGrid w:val="0"/>
              <w:spacing w:line="360" w:lineRule="auto"/>
              <w:ind w:left="-7" w:leftChars="-10" w:hanging="14" w:hangingChars="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tc>
        <w:tc>
          <w:tcPr>
            <w:tcW w:w="877" w:type="dxa"/>
            <w:noWrap/>
            <w:vAlign w:val="center"/>
          </w:tcPr>
          <w:p w14:paraId="25B912A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77" w:type="dxa"/>
            <w:noWrap/>
            <w:vAlign w:val="center"/>
          </w:tcPr>
          <w:p w14:paraId="6B91AD4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77" w:type="dxa"/>
            <w:noWrap/>
            <w:vAlign w:val="center"/>
          </w:tcPr>
          <w:p w14:paraId="115C3E3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77" w:type="dxa"/>
            <w:noWrap/>
            <w:vAlign w:val="center"/>
          </w:tcPr>
          <w:p w14:paraId="784C75E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77" w:type="dxa"/>
            <w:noWrap/>
            <w:vAlign w:val="center"/>
          </w:tcPr>
          <w:p w14:paraId="6CBF64A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109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9" w:type="dxa"/>
            <w:noWrap/>
          </w:tcPr>
          <w:p w14:paraId="6E80319E">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4B60D081">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0BFAFFEE">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4C155492">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31613E4">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E81B7AC">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3E24FBCC">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D1EA17B">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85E2D6A">
            <w:pPr>
              <w:adjustRightInd w:val="0"/>
              <w:snapToGrid w:val="0"/>
              <w:spacing w:line="360" w:lineRule="auto"/>
              <w:rPr>
                <w:rFonts w:hint="eastAsia" w:ascii="宋体" w:hAnsi="宋体" w:eastAsia="宋体" w:cs="宋体"/>
                <w:color w:val="auto"/>
                <w:sz w:val="21"/>
                <w:szCs w:val="21"/>
                <w:highlight w:val="none"/>
              </w:rPr>
            </w:pPr>
          </w:p>
        </w:tc>
      </w:tr>
      <w:tr w14:paraId="4B77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0BA0A9D3">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2882403F">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356C74DB">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3AE922AC">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340C29F6">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58903E5">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647DE7A0">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4DA9A12">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4BD4ED6">
            <w:pPr>
              <w:adjustRightInd w:val="0"/>
              <w:snapToGrid w:val="0"/>
              <w:spacing w:line="360" w:lineRule="auto"/>
              <w:rPr>
                <w:rFonts w:hint="eastAsia" w:ascii="宋体" w:hAnsi="宋体" w:eastAsia="宋体" w:cs="宋体"/>
                <w:color w:val="auto"/>
                <w:sz w:val="21"/>
                <w:szCs w:val="21"/>
                <w:highlight w:val="none"/>
              </w:rPr>
            </w:pPr>
          </w:p>
        </w:tc>
      </w:tr>
      <w:tr w14:paraId="01F8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2DF5E58D">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77B8EAF8">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55B1E4A3">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3A54DB4E">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CBEC515">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54C0E72">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87DBC28">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7C82F72">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44A812EF">
            <w:pPr>
              <w:adjustRightInd w:val="0"/>
              <w:snapToGrid w:val="0"/>
              <w:spacing w:line="360" w:lineRule="auto"/>
              <w:rPr>
                <w:rFonts w:hint="eastAsia" w:ascii="宋体" w:hAnsi="宋体" w:eastAsia="宋体" w:cs="宋体"/>
                <w:color w:val="auto"/>
                <w:sz w:val="21"/>
                <w:szCs w:val="21"/>
                <w:highlight w:val="none"/>
              </w:rPr>
            </w:pPr>
          </w:p>
        </w:tc>
      </w:tr>
      <w:tr w14:paraId="0061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26C7EFCB">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7480DE0D">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144EFFFB">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4F946AC8">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E26E2B9">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27DBFB4">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2FA6DD29">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3D3CE861">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1B84429">
            <w:pPr>
              <w:adjustRightInd w:val="0"/>
              <w:snapToGrid w:val="0"/>
              <w:spacing w:line="360" w:lineRule="auto"/>
              <w:rPr>
                <w:rFonts w:hint="eastAsia" w:ascii="宋体" w:hAnsi="宋体" w:eastAsia="宋体" w:cs="宋体"/>
                <w:color w:val="auto"/>
                <w:sz w:val="21"/>
                <w:szCs w:val="21"/>
                <w:highlight w:val="none"/>
              </w:rPr>
            </w:pPr>
          </w:p>
        </w:tc>
      </w:tr>
      <w:tr w14:paraId="74A9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43540C2C">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7CBB328D">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19332497">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75D9BE37">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6F1A7872">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4F8651C">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6E72EDD4">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FA9C93A">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A3F1804">
            <w:pPr>
              <w:adjustRightInd w:val="0"/>
              <w:snapToGrid w:val="0"/>
              <w:spacing w:line="360" w:lineRule="auto"/>
              <w:rPr>
                <w:rFonts w:hint="eastAsia" w:ascii="宋体" w:hAnsi="宋体" w:eastAsia="宋体" w:cs="宋体"/>
                <w:color w:val="auto"/>
                <w:sz w:val="21"/>
                <w:szCs w:val="21"/>
                <w:highlight w:val="none"/>
              </w:rPr>
            </w:pPr>
          </w:p>
        </w:tc>
      </w:tr>
      <w:tr w14:paraId="12E9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703C79CA">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672FBD36">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643BF2DC">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0E74E7D8">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81817EA">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BCAB533">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2322F822">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6D44638">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6535D65A">
            <w:pPr>
              <w:adjustRightInd w:val="0"/>
              <w:snapToGrid w:val="0"/>
              <w:spacing w:line="360" w:lineRule="auto"/>
              <w:rPr>
                <w:rFonts w:hint="eastAsia" w:ascii="宋体" w:hAnsi="宋体" w:eastAsia="宋体" w:cs="宋体"/>
                <w:color w:val="auto"/>
                <w:sz w:val="21"/>
                <w:szCs w:val="21"/>
                <w:highlight w:val="none"/>
              </w:rPr>
            </w:pPr>
          </w:p>
        </w:tc>
      </w:tr>
      <w:tr w14:paraId="437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3EB1B7B6">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128D65D4">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4C0F1349">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77224228">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77EACD4">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56AA9BD">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7663A24">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66ACBBD0">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E269DCA">
            <w:pPr>
              <w:adjustRightInd w:val="0"/>
              <w:snapToGrid w:val="0"/>
              <w:spacing w:line="360" w:lineRule="auto"/>
              <w:rPr>
                <w:rFonts w:hint="eastAsia" w:ascii="宋体" w:hAnsi="宋体" w:eastAsia="宋体" w:cs="宋体"/>
                <w:color w:val="auto"/>
                <w:sz w:val="21"/>
                <w:szCs w:val="21"/>
                <w:highlight w:val="none"/>
              </w:rPr>
            </w:pPr>
          </w:p>
        </w:tc>
      </w:tr>
      <w:tr w14:paraId="68A5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3C425484">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5AD3499D">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04BC53CE">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7F3681EB">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449B8061">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3FE12AA8">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DA78441">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BFB5D37">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6260DDF4">
            <w:pPr>
              <w:adjustRightInd w:val="0"/>
              <w:snapToGrid w:val="0"/>
              <w:spacing w:line="360" w:lineRule="auto"/>
              <w:rPr>
                <w:rFonts w:hint="eastAsia" w:ascii="宋体" w:hAnsi="宋体" w:eastAsia="宋体" w:cs="宋体"/>
                <w:color w:val="auto"/>
                <w:sz w:val="21"/>
                <w:szCs w:val="21"/>
                <w:highlight w:val="none"/>
              </w:rPr>
            </w:pPr>
          </w:p>
        </w:tc>
      </w:tr>
      <w:tr w14:paraId="5BE6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5C9719D6">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4FA5BB53">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32A7501B">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07E65276">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CE975C1">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A71898D">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25B1A6F3">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F1EFCFC">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66FBF228">
            <w:pPr>
              <w:adjustRightInd w:val="0"/>
              <w:snapToGrid w:val="0"/>
              <w:spacing w:line="360" w:lineRule="auto"/>
              <w:rPr>
                <w:rFonts w:hint="eastAsia" w:ascii="宋体" w:hAnsi="宋体" w:eastAsia="宋体" w:cs="宋体"/>
                <w:color w:val="auto"/>
                <w:sz w:val="21"/>
                <w:szCs w:val="21"/>
                <w:highlight w:val="none"/>
              </w:rPr>
            </w:pPr>
          </w:p>
        </w:tc>
      </w:tr>
      <w:tr w14:paraId="18CF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6DE05531">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38440BE1">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7E4DA51C">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5959A513">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28CE514E">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3E7E1C63">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39AC70F7">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2140DDEA">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5FF2F0D">
            <w:pPr>
              <w:adjustRightInd w:val="0"/>
              <w:snapToGrid w:val="0"/>
              <w:spacing w:line="360" w:lineRule="auto"/>
              <w:rPr>
                <w:rFonts w:hint="eastAsia" w:ascii="宋体" w:hAnsi="宋体" w:eastAsia="宋体" w:cs="宋体"/>
                <w:color w:val="auto"/>
                <w:sz w:val="21"/>
                <w:szCs w:val="21"/>
                <w:highlight w:val="none"/>
              </w:rPr>
            </w:pPr>
          </w:p>
        </w:tc>
      </w:tr>
      <w:tr w14:paraId="3FC4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39B794E9">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3BE41EE7">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7B4DCAAD">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7A852123">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4953D577">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2BB23E4">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68A663F">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8086664">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8B33668">
            <w:pPr>
              <w:adjustRightInd w:val="0"/>
              <w:snapToGrid w:val="0"/>
              <w:spacing w:line="360" w:lineRule="auto"/>
              <w:rPr>
                <w:rFonts w:hint="eastAsia" w:ascii="宋体" w:hAnsi="宋体" w:eastAsia="宋体" w:cs="宋体"/>
                <w:color w:val="auto"/>
                <w:sz w:val="21"/>
                <w:szCs w:val="21"/>
                <w:highlight w:val="none"/>
              </w:rPr>
            </w:pPr>
          </w:p>
        </w:tc>
      </w:tr>
      <w:tr w14:paraId="5A6B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0AA14844">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1F0F03BB">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279EB775">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71155A91">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E5FDC5A">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2C97CF49">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7A22690">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261E81FA">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63C295D">
            <w:pPr>
              <w:adjustRightInd w:val="0"/>
              <w:snapToGrid w:val="0"/>
              <w:spacing w:line="360" w:lineRule="auto"/>
              <w:rPr>
                <w:rFonts w:hint="eastAsia" w:ascii="宋体" w:hAnsi="宋体" w:eastAsia="宋体" w:cs="宋体"/>
                <w:color w:val="auto"/>
                <w:sz w:val="21"/>
                <w:szCs w:val="21"/>
                <w:highlight w:val="none"/>
              </w:rPr>
            </w:pPr>
          </w:p>
        </w:tc>
      </w:tr>
      <w:tr w14:paraId="0A4A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tcPr>
          <w:p w14:paraId="047E465F">
            <w:pPr>
              <w:adjustRightInd w:val="0"/>
              <w:snapToGrid w:val="0"/>
              <w:spacing w:line="360" w:lineRule="auto"/>
              <w:rPr>
                <w:rFonts w:hint="eastAsia" w:ascii="宋体" w:hAnsi="宋体" w:eastAsia="宋体" w:cs="宋体"/>
                <w:color w:val="auto"/>
                <w:sz w:val="21"/>
                <w:szCs w:val="21"/>
                <w:highlight w:val="none"/>
              </w:rPr>
            </w:pPr>
          </w:p>
        </w:tc>
        <w:tc>
          <w:tcPr>
            <w:tcW w:w="1230" w:type="dxa"/>
            <w:noWrap/>
          </w:tcPr>
          <w:p w14:paraId="253CAEDF">
            <w:pPr>
              <w:adjustRightInd w:val="0"/>
              <w:snapToGrid w:val="0"/>
              <w:spacing w:line="360" w:lineRule="auto"/>
              <w:rPr>
                <w:rFonts w:hint="eastAsia" w:ascii="宋体" w:hAnsi="宋体" w:eastAsia="宋体" w:cs="宋体"/>
                <w:color w:val="auto"/>
                <w:sz w:val="21"/>
                <w:szCs w:val="21"/>
                <w:highlight w:val="none"/>
              </w:rPr>
            </w:pPr>
          </w:p>
        </w:tc>
        <w:tc>
          <w:tcPr>
            <w:tcW w:w="1360" w:type="dxa"/>
            <w:noWrap/>
          </w:tcPr>
          <w:p w14:paraId="5228E605">
            <w:pPr>
              <w:adjustRightInd w:val="0"/>
              <w:snapToGrid w:val="0"/>
              <w:spacing w:line="360" w:lineRule="auto"/>
              <w:rPr>
                <w:rFonts w:hint="eastAsia" w:ascii="宋体" w:hAnsi="宋体" w:eastAsia="宋体" w:cs="宋体"/>
                <w:color w:val="auto"/>
                <w:sz w:val="21"/>
                <w:szCs w:val="21"/>
                <w:highlight w:val="none"/>
              </w:rPr>
            </w:pPr>
          </w:p>
        </w:tc>
        <w:tc>
          <w:tcPr>
            <w:tcW w:w="1276" w:type="dxa"/>
            <w:noWrap/>
          </w:tcPr>
          <w:p w14:paraId="54F90E6A">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55EB0D5">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5A7718BD">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02135073">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1E082AB1">
            <w:pPr>
              <w:adjustRightInd w:val="0"/>
              <w:snapToGrid w:val="0"/>
              <w:spacing w:line="360" w:lineRule="auto"/>
              <w:rPr>
                <w:rFonts w:hint="eastAsia" w:ascii="宋体" w:hAnsi="宋体" w:eastAsia="宋体" w:cs="宋体"/>
                <w:color w:val="auto"/>
                <w:sz w:val="21"/>
                <w:szCs w:val="21"/>
                <w:highlight w:val="none"/>
              </w:rPr>
            </w:pPr>
          </w:p>
        </w:tc>
        <w:tc>
          <w:tcPr>
            <w:tcW w:w="877" w:type="dxa"/>
            <w:noWrap/>
          </w:tcPr>
          <w:p w14:paraId="78C9B73A">
            <w:pPr>
              <w:adjustRightInd w:val="0"/>
              <w:snapToGrid w:val="0"/>
              <w:spacing w:line="360" w:lineRule="auto"/>
              <w:rPr>
                <w:rFonts w:hint="eastAsia" w:ascii="宋体" w:hAnsi="宋体" w:eastAsia="宋体" w:cs="宋体"/>
                <w:color w:val="auto"/>
                <w:sz w:val="21"/>
                <w:szCs w:val="21"/>
                <w:highlight w:val="none"/>
              </w:rPr>
            </w:pPr>
          </w:p>
        </w:tc>
      </w:tr>
    </w:tbl>
    <w:p w14:paraId="05FCA845">
      <w:pPr>
        <w:adjustRightInd w:val="0"/>
        <w:snapToGrid w:val="0"/>
        <w:spacing w:line="360" w:lineRule="auto"/>
        <w:rPr>
          <w:rFonts w:hint="eastAsia" w:ascii="宋体" w:hAnsi="宋体" w:eastAsia="宋体" w:cs="宋体"/>
          <w:color w:val="auto"/>
          <w:sz w:val="21"/>
          <w:szCs w:val="21"/>
          <w:highlight w:val="none"/>
        </w:rPr>
      </w:pPr>
    </w:p>
    <w:p w14:paraId="64FCDFA9">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A14231E">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1B7AA866">
      <w:pPr>
        <w:spacing w:line="360" w:lineRule="auto"/>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18C120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0BC06CFB">
      <w:pPr>
        <w:numPr>
          <w:ilvl w:val="0"/>
          <w:numId w:val="8"/>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此表名称栏填写备件、专用工具和消耗品名称。</w:t>
      </w:r>
    </w:p>
    <w:p w14:paraId="5F099433">
      <w:pPr>
        <w:numPr>
          <w:ilvl w:val="0"/>
          <w:numId w:val="8"/>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备品、专用工具和消耗品分类、分项填写。    </w:t>
      </w:r>
    </w:p>
    <w:p w14:paraId="46D50BEC">
      <w:pPr>
        <w:pStyle w:val="3"/>
        <w:spacing w:before="0" w:after="0" w:line="360" w:lineRule="auto"/>
        <w:ind w:left="840"/>
        <w:jc w:val="center"/>
        <w:rPr>
          <w:rFonts w:ascii="宋体" w:hAnsi="宋体" w:cs="宋体"/>
          <w:color w:val="auto"/>
          <w:sz w:val="28"/>
          <w:szCs w:val="28"/>
          <w:highlight w:val="none"/>
        </w:rPr>
      </w:pPr>
    </w:p>
    <w:p w14:paraId="7C309750">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00F540E0">
      <w:pPr>
        <w:pStyle w:val="3"/>
        <w:keepNext/>
        <w:keepLines/>
        <w:pageBreakBefore w:val="0"/>
        <w:widowControl w:val="0"/>
        <w:kinsoku/>
        <w:wordWrap/>
        <w:overflowPunct/>
        <w:topLinePunct w:val="0"/>
        <w:autoSpaceDE/>
        <w:autoSpaceDN/>
        <w:bidi w:val="0"/>
        <w:adjustRightInd/>
        <w:snapToGrid/>
        <w:spacing w:before="144" w:beforeLines="50" w:after="144" w:afterLines="50" w:line="360" w:lineRule="auto"/>
        <w:ind w:left="839"/>
        <w:jc w:val="center"/>
        <w:textAlignment w:val="auto"/>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技术规格和商务条款偏差表</w:t>
      </w:r>
    </w:p>
    <w:p w14:paraId="6DB2DD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660C09CF">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30"/>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2464"/>
        <w:gridCol w:w="1433"/>
        <w:gridCol w:w="1641"/>
        <w:gridCol w:w="1433"/>
        <w:gridCol w:w="817"/>
        <w:gridCol w:w="816"/>
      </w:tblGrid>
      <w:tr w14:paraId="22162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456" w:type="dxa"/>
            <w:vMerge w:val="restart"/>
            <w:tcBorders>
              <w:top w:val="single" w:color="auto" w:sz="4" w:space="0"/>
              <w:left w:val="single" w:color="auto" w:sz="4" w:space="0"/>
              <w:right w:val="single" w:color="auto" w:sz="4" w:space="0"/>
            </w:tcBorders>
            <w:vAlign w:val="center"/>
          </w:tcPr>
          <w:p w14:paraId="4A1E2A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64" w:type="dxa"/>
            <w:vMerge w:val="restart"/>
            <w:tcBorders>
              <w:top w:val="single" w:color="auto" w:sz="4" w:space="0"/>
              <w:left w:val="single" w:color="auto" w:sz="4" w:space="0"/>
              <w:right w:val="single" w:color="auto" w:sz="4" w:space="0"/>
            </w:tcBorders>
            <w:vAlign w:val="center"/>
          </w:tcPr>
          <w:p w14:paraId="6D4DE8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内容和条款号</w:t>
            </w:r>
          </w:p>
        </w:tc>
        <w:tc>
          <w:tcPr>
            <w:tcW w:w="3074" w:type="dxa"/>
            <w:gridSpan w:val="2"/>
            <w:tcBorders>
              <w:top w:val="single" w:color="auto" w:sz="4" w:space="0"/>
              <w:left w:val="single" w:color="auto" w:sz="4" w:space="0"/>
              <w:bottom w:val="single" w:color="auto" w:sz="4" w:space="0"/>
              <w:right w:val="single" w:color="auto" w:sz="4" w:space="0"/>
            </w:tcBorders>
            <w:vAlign w:val="center"/>
          </w:tcPr>
          <w:p w14:paraId="45319C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技术参数及要求</w:t>
            </w:r>
          </w:p>
        </w:tc>
        <w:tc>
          <w:tcPr>
            <w:tcW w:w="1433" w:type="dxa"/>
            <w:vMerge w:val="restart"/>
            <w:tcBorders>
              <w:top w:val="single" w:color="auto" w:sz="4" w:space="0"/>
              <w:left w:val="single" w:color="auto" w:sz="4" w:space="0"/>
              <w:right w:val="single" w:color="auto" w:sz="4" w:space="0"/>
            </w:tcBorders>
            <w:vAlign w:val="center"/>
          </w:tcPr>
          <w:p w14:paraId="56C5BF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对采购文件偏差</w:t>
            </w:r>
          </w:p>
        </w:tc>
        <w:tc>
          <w:tcPr>
            <w:tcW w:w="817" w:type="dxa"/>
            <w:vMerge w:val="restart"/>
            <w:tcBorders>
              <w:top w:val="single" w:color="auto" w:sz="4" w:space="0"/>
              <w:left w:val="single" w:color="auto" w:sz="4" w:space="0"/>
              <w:right w:val="single" w:color="auto" w:sz="4" w:space="0"/>
            </w:tcBorders>
            <w:vAlign w:val="center"/>
          </w:tcPr>
          <w:p w14:paraId="4559C0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描述</w:t>
            </w:r>
          </w:p>
        </w:tc>
        <w:tc>
          <w:tcPr>
            <w:tcW w:w="816" w:type="dxa"/>
            <w:vMerge w:val="restart"/>
            <w:tcBorders>
              <w:top w:val="single" w:color="auto" w:sz="4" w:space="0"/>
              <w:left w:val="single" w:color="auto" w:sz="4" w:space="0"/>
              <w:right w:val="single" w:color="auto" w:sz="4" w:space="0"/>
            </w:tcBorders>
            <w:vAlign w:val="center"/>
          </w:tcPr>
          <w:p w14:paraId="3ED38F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2215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456" w:type="dxa"/>
            <w:vMerge w:val="continue"/>
            <w:tcBorders>
              <w:left w:val="single" w:color="auto" w:sz="4" w:space="0"/>
              <w:bottom w:val="single" w:color="auto" w:sz="4" w:space="0"/>
              <w:right w:val="single" w:color="auto" w:sz="4" w:space="0"/>
            </w:tcBorders>
            <w:vAlign w:val="center"/>
          </w:tcPr>
          <w:p w14:paraId="518F9247">
            <w:pPr>
              <w:spacing w:line="360" w:lineRule="auto"/>
              <w:jc w:val="center"/>
              <w:rPr>
                <w:rFonts w:hint="eastAsia" w:ascii="宋体" w:hAnsi="宋体" w:eastAsia="宋体" w:cs="宋体"/>
                <w:color w:val="auto"/>
                <w:sz w:val="21"/>
                <w:szCs w:val="21"/>
                <w:highlight w:val="none"/>
              </w:rPr>
            </w:pPr>
          </w:p>
        </w:tc>
        <w:tc>
          <w:tcPr>
            <w:tcW w:w="2464" w:type="dxa"/>
            <w:vMerge w:val="continue"/>
            <w:tcBorders>
              <w:left w:val="single" w:color="auto" w:sz="4" w:space="0"/>
              <w:bottom w:val="single" w:color="auto" w:sz="4" w:space="0"/>
              <w:right w:val="single" w:color="auto" w:sz="4" w:space="0"/>
            </w:tcBorders>
            <w:vAlign w:val="center"/>
          </w:tcPr>
          <w:p w14:paraId="297A0779">
            <w:pPr>
              <w:spacing w:line="360" w:lineRule="auto"/>
              <w:jc w:val="center"/>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496FFC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招标书</w:t>
            </w:r>
          </w:p>
        </w:tc>
        <w:tc>
          <w:tcPr>
            <w:tcW w:w="1641" w:type="dxa"/>
            <w:tcBorders>
              <w:top w:val="single" w:color="auto" w:sz="4" w:space="0"/>
              <w:left w:val="single" w:color="auto" w:sz="4" w:space="0"/>
              <w:bottom w:val="single" w:color="auto" w:sz="4" w:space="0"/>
              <w:right w:val="single" w:color="auto" w:sz="4" w:space="0"/>
            </w:tcBorders>
            <w:vAlign w:val="center"/>
          </w:tcPr>
          <w:p w14:paraId="056C94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投标书</w:t>
            </w:r>
          </w:p>
        </w:tc>
        <w:tc>
          <w:tcPr>
            <w:tcW w:w="1433" w:type="dxa"/>
            <w:vMerge w:val="continue"/>
            <w:tcBorders>
              <w:left w:val="single" w:color="auto" w:sz="4" w:space="0"/>
              <w:bottom w:val="single" w:color="auto" w:sz="4" w:space="0"/>
              <w:right w:val="single" w:color="auto" w:sz="4" w:space="0"/>
            </w:tcBorders>
            <w:vAlign w:val="center"/>
          </w:tcPr>
          <w:p w14:paraId="2673A229">
            <w:pPr>
              <w:spacing w:line="360" w:lineRule="auto"/>
              <w:jc w:val="center"/>
              <w:rPr>
                <w:rFonts w:hint="eastAsia" w:ascii="宋体" w:hAnsi="宋体" w:eastAsia="宋体" w:cs="宋体"/>
                <w:color w:val="auto"/>
                <w:sz w:val="21"/>
                <w:szCs w:val="21"/>
                <w:highlight w:val="none"/>
              </w:rPr>
            </w:pPr>
          </w:p>
        </w:tc>
        <w:tc>
          <w:tcPr>
            <w:tcW w:w="817" w:type="dxa"/>
            <w:vMerge w:val="continue"/>
            <w:tcBorders>
              <w:left w:val="single" w:color="auto" w:sz="4" w:space="0"/>
              <w:bottom w:val="single" w:color="auto" w:sz="4" w:space="0"/>
              <w:right w:val="single" w:color="auto" w:sz="4" w:space="0"/>
            </w:tcBorders>
            <w:vAlign w:val="center"/>
          </w:tcPr>
          <w:p w14:paraId="1ED89415">
            <w:pPr>
              <w:spacing w:line="360" w:lineRule="auto"/>
              <w:jc w:val="center"/>
              <w:rPr>
                <w:rFonts w:hint="eastAsia" w:ascii="宋体" w:hAnsi="宋体" w:eastAsia="宋体" w:cs="宋体"/>
                <w:color w:val="auto"/>
                <w:sz w:val="21"/>
                <w:szCs w:val="21"/>
                <w:highlight w:val="none"/>
              </w:rPr>
            </w:pPr>
          </w:p>
        </w:tc>
        <w:tc>
          <w:tcPr>
            <w:tcW w:w="816" w:type="dxa"/>
            <w:vMerge w:val="continue"/>
            <w:tcBorders>
              <w:left w:val="single" w:color="auto" w:sz="4" w:space="0"/>
              <w:bottom w:val="single" w:color="auto" w:sz="4" w:space="0"/>
              <w:right w:val="single" w:color="auto" w:sz="4" w:space="0"/>
            </w:tcBorders>
            <w:vAlign w:val="center"/>
          </w:tcPr>
          <w:p w14:paraId="4EECFA51">
            <w:pPr>
              <w:spacing w:line="360" w:lineRule="auto"/>
              <w:jc w:val="center"/>
              <w:rPr>
                <w:rFonts w:hint="eastAsia" w:ascii="宋体" w:hAnsi="宋体" w:eastAsia="宋体" w:cs="宋体"/>
                <w:color w:val="auto"/>
                <w:sz w:val="21"/>
                <w:szCs w:val="21"/>
                <w:highlight w:val="none"/>
              </w:rPr>
            </w:pPr>
          </w:p>
        </w:tc>
      </w:tr>
      <w:tr w14:paraId="3D00B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6403E3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4" w:type="dxa"/>
            <w:tcBorders>
              <w:top w:val="single" w:color="auto" w:sz="4" w:space="0"/>
              <w:left w:val="single" w:color="auto" w:sz="4" w:space="0"/>
              <w:bottom w:val="single" w:color="auto" w:sz="4" w:space="0"/>
              <w:right w:val="single" w:color="auto" w:sz="4" w:space="0"/>
            </w:tcBorders>
          </w:tcPr>
          <w:p w14:paraId="5F98F9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内容或配置名称</w:t>
            </w:r>
          </w:p>
        </w:tc>
        <w:tc>
          <w:tcPr>
            <w:tcW w:w="1433" w:type="dxa"/>
            <w:tcBorders>
              <w:top w:val="single" w:color="auto" w:sz="4" w:space="0"/>
              <w:left w:val="single" w:color="auto" w:sz="4" w:space="0"/>
              <w:bottom w:val="single" w:color="auto" w:sz="4" w:space="0"/>
              <w:right w:val="single" w:color="auto" w:sz="4" w:space="0"/>
            </w:tcBorders>
          </w:tcPr>
          <w:p w14:paraId="291D6165">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6FF94344">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6915EAE8">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6E99CC50">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51D00545">
            <w:pPr>
              <w:spacing w:line="360" w:lineRule="auto"/>
              <w:rPr>
                <w:rFonts w:hint="eastAsia" w:ascii="宋体" w:hAnsi="宋体" w:eastAsia="宋体" w:cs="宋体"/>
                <w:color w:val="auto"/>
                <w:sz w:val="21"/>
                <w:szCs w:val="21"/>
                <w:highlight w:val="none"/>
              </w:rPr>
            </w:pPr>
          </w:p>
        </w:tc>
      </w:tr>
      <w:tr w14:paraId="0292F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5C37DA6B">
            <w:pPr>
              <w:spacing w:line="360" w:lineRule="auto"/>
              <w:jc w:val="center"/>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504989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参数名称1</w:t>
            </w:r>
          </w:p>
        </w:tc>
        <w:tc>
          <w:tcPr>
            <w:tcW w:w="1433" w:type="dxa"/>
            <w:tcBorders>
              <w:top w:val="single" w:color="auto" w:sz="4" w:space="0"/>
              <w:left w:val="single" w:color="auto" w:sz="4" w:space="0"/>
              <w:bottom w:val="single" w:color="auto" w:sz="4" w:space="0"/>
              <w:right w:val="single" w:color="auto" w:sz="4" w:space="0"/>
            </w:tcBorders>
          </w:tcPr>
          <w:p w14:paraId="795CB719">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7440BB7D">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33C74CFE">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44319CDA">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77313658">
            <w:pPr>
              <w:spacing w:line="360" w:lineRule="auto"/>
              <w:rPr>
                <w:rFonts w:hint="eastAsia" w:ascii="宋体" w:hAnsi="宋体" w:eastAsia="宋体" w:cs="宋体"/>
                <w:color w:val="auto"/>
                <w:sz w:val="21"/>
                <w:szCs w:val="21"/>
                <w:highlight w:val="none"/>
              </w:rPr>
            </w:pPr>
          </w:p>
        </w:tc>
      </w:tr>
      <w:tr w14:paraId="49076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6FE73A7A">
            <w:pPr>
              <w:spacing w:line="360" w:lineRule="auto"/>
              <w:jc w:val="center"/>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2ED568B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参数名称2</w:t>
            </w:r>
          </w:p>
        </w:tc>
        <w:tc>
          <w:tcPr>
            <w:tcW w:w="1433" w:type="dxa"/>
            <w:tcBorders>
              <w:top w:val="single" w:color="auto" w:sz="4" w:space="0"/>
              <w:left w:val="single" w:color="auto" w:sz="4" w:space="0"/>
              <w:bottom w:val="single" w:color="auto" w:sz="4" w:space="0"/>
              <w:right w:val="single" w:color="auto" w:sz="4" w:space="0"/>
            </w:tcBorders>
          </w:tcPr>
          <w:p w14:paraId="58711385">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66B0F7CA">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2E97FC95">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425D7B57">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51F96DE1">
            <w:pPr>
              <w:spacing w:line="360" w:lineRule="auto"/>
              <w:rPr>
                <w:rFonts w:hint="eastAsia" w:ascii="宋体" w:hAnsi="宋体" w:eastAsia="宋体" w:cs="宋体"/>
                <w:color w:val="auto"/>
                <w:sz w:val="21"/>
                <w:szCs w:val="21"/>
                <w:highlight w:val="none"/>
              </w:rPr>
            </w:pPr>
          </w:p>
        </w:tc>
      </w:tr>
      <w:tr w14:paraId="20059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74F17502">
            <w:pPr>
              <w:spacing w:line="360" w:lineRule="auto"/>
              <w:jc w:val="center"/>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32A601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33" w:type="dxa"/>
            <w:tcBorders>
              <w:top w:val="single" w:color="auto" w:sz="4" w:space="0"/>
              <w:left w:val="single" w:color="auto" w:sz="4" w:space="0"/>
              <w:bottom w:val="single" w:color="auto" w:sz="4" w:space="0"/>
              <w:right w:val="single" w:color="auto" w:sz="4" w:space="0"/>
            </w:tcBorders>
          </w:tcPr>
          <w:p w14:paraId="318B73C2">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3C8A0157">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13496CEF">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601BA7EF">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35B1EA59">
            <w:pPr>
              <w:spacing w:line="360" w:lineRule="auto"/>
              <w:rPr>
                <w:rFonts w:hint="eastAsia" w:ascii="宋体" w:hAnsi="宋体" w:eastAsia="宋体" w:cs="宋体"/>
                <w:color w:val="auto"/>
                <w:sz w:val="21"/>
                <w:szCs w:val="21"/>
                <w:highlight w:val="none"/>
              </w:rPr>
            </w:pPr>
          </w:p>
        </w:tc>
      </w:tr>
      <w:tr w14:paraId="78DA5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5FBA0C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64" w:type="dxa"/>
            <w:tcBorders>
              <w:top w:val="single" w:color="auto" w:sz="4" w:space="0"/>
              <w:left w:val="single" w:color="auto" w:sz="4" w:space="0"/>
              <w:bottom w:val="single" w:color="auto" w:sz="4" w:space="0"/>
              <w:right w:val="single" w:color="auto" w:sz="4" w:space="0"/>
            </w:tcBorders>
          </w:tcPr>
          <w:p w14:paraId="2D8B79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内容或配置名称</w:t>
            </w:r>
          </w:p>
        </w:tc>
        <w:tc>
          <w:tcPr>
            <w:tcW w:w="1433" w:type="dxa"/>
            <w:tcBorders>
              <w:top w:val="single" w:color="auto" w:sz="4" w:space="0"/>
              <w:left w:val="single" w:color="auto" w:sz="4" w:space="0"/>
              <w:bottom w:val="single" w:color="auto" w:sz="4" w:space="0"/>
              <w:right w:val="single" w:color="auto" w:sz="4" w:space="0"/>
            </w:tcBorders>
          </w:tcPr>
          <w:p w14:paraId="3B334AC3">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7672F052">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2F9D8876">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0E747F9E">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10B161EC">
            <w:pPr>
              <w:spacing w:line="360" w:lineRule="auto"/>
              <w:rPr>
                <w:rFonts w:hint="eastAsia" w:ascii="宋体" w:hAnsi="宋体" w:eastAsia="宋体" w:cs="宋体"/>
                <w:color w:val="auto"/>
                <w:sz w:val="21"/>
                <w:szCs w:val="21"/>
                <w:highlight w:val="none"/>
              </w:rPr>
            </w:pPr>
          </w:p>
        </w:tc>
      </w:tr>
      <w:tr w14:paraId="1E8C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102BFF0F">
            <w:pPr>
              <w:spacing w:line="360" w:lineRule="auto"/>
              <w:jc w:val="center"/>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71FAE1F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参数名称1</w:t>
            </w:r>
          </w:p>
        </w:tc>
        <w:tc>
          <w:tcPr>
            <w:tcW w:w="1433" w:type="dxa"/>
            <w:tcBorders>
              <w:top w:val="single" w:color="auto" w:sz="4" w:space="0"/>
              <w:left w:val="single" w:color="auto" w:sz="4" w:space="0"/>
              <w:bottom w:val="single" w:color="auto" w:sz="4" w:space="0"/>
              <w:right w:val="single" w:color="auto" w:sz="4" w:space="0"/>
            </w:tcBorders>
          </w:tcPr>
          <w:p w14:paraId="48D080DF">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78516867">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61CF01A8">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7596FFE7">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46418F66">
            <w:pPr>
              <w:spacing w:line="360" w:lineRule="auto"/>
              <w:rPr>
                <w:rFonts w:hint="eastAsia" w:ascii="宋体" w:hAnsi="宋体" w:eastAsia="宋体" w:cs="宋体"/>
                <w:color w:val="auto"/>
                <w:sz w:val="21"/>
                <w:szCs w:val="21"/>
                <w:highlight w:val="none"/>
              </w:rPr>
            </w:pPr>
          </w:p>
        </w:tc>
      </w:tr>
      <w:tr w14:paraId="0E6F1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4EABB37A">
            <w:pPr>
              <w:spacing w:line="360" w:lineRule="auto"/>
              <w:jc w:val="center"/>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20018C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参数名称2</w:t>
            </w:r>
          </w:p>
        </w:tc>
        <w:tc>
          <w:tcPr>
            <w:tcW w:w="1433" w:type="dxa"/>
            <w:tcBorders>
              <w:top w:val="single" w:color="auto" w:sz="4" w:space="0"/>
              <w:left w:val="single" w:color="auto" w:sz="4" w:space="0"/>
              <w:bottom w:val="single" w:color="auto" w:sz="4" w:space="0"/>
              <w:right w:val="single" w:color="auto" w:sz="4" w:space="0"/>
            </w:tcBorders>
          </w:tcPr>
          <w:p w14:paraId="6A492A4E">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6EAAB247">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5B8D86AA">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2ED72A41">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579ED584">
            <w:pPr>
              <w:spacing w:line="360" w:lineRule="auto"/>
              <w:rPr>
                <w:rFonts w:hint="eastAsia" w:ascii="宋体" w:hAnsi="宋体" w:eastAsia="宋体" w:cs="宋体"/>
                <w:color w:val="auto"/>
                <w:sz w:val="21"/>
                <w:szCs w:val="21"/>
                <w:highlight w:val="none"/>
              </w:rPr>
            </w:pPr>
          </w:p>
        </w:tc>
      </w:tr>
      <w:tr w14:paraId="75C6F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005CAC12">
            <w:pPr>
              <w:spacing w:line="360" w:lineRule="auto"/>
              <w:jc w:val="center"/>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3B2CEB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33" w:type="dxa"/>
            <w:tcBorders>
              <w:top w:val="single" w:color="auto" w:sz="4" w:space="0"/>
              <w:left w:val="single" w:color="auto" w:sz="4" w:space="0"/>
              <w:bottom w:val="single" w:color="auto" w:sz="4" w:space="0"/>
              <w:right w:val="single" w:color="auto" w:sz="4" w:space="0"/>
            </w:tcBorders>
          </w:tcPr>
          <w:p w14:paraId="0F0B6436">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02EFFB32">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4D388F84">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4AC46624">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7FE1F742">
            <w:pPr>
              <w:spacing w:line="360" w:lineRule="auto"/>
              <w:rPr>
                <w:rFonts w:hint="eastAsia" w:ascii="宋体" w:hAnsi="宋体" w:eastAsia="宋体" w:cs="宋体"/>
                <w:color w:val="auto"/>
                <w:sz w:val="21"/>
                <w:szCs w:val="21"/>
                <w:highlight w:val="none"/>
              </w:rPr>
            </w:pPr>
          </w:p>
        </w:tc>
      </w:tr>
      <w:tr w14:paraId="66A1E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64FE00F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64" w:type="dxa"/>
            <w:tcBorders>
              <w:top w:val="single" w:color="auto" w:sz="4" w:space="0"/>
              <w:left w:val="single" w:color="auto" w:sz="4" w:space="0"/>
              <w:bottom w:val="single" w:color="auto" w:sz="4" w:space="0"/>
              <w:right w:val="single" w:color="auto" w:sz="4" w:space="0"/>
            </w:tcBorders>
          </w:tcPr>
          <w:p w14:paraId="272467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商务条款号1</w:t>
            </w:r>
          </w:p>
        </w:tc>
        <w:tc>
          <w:tcPr>
            <w:tcW w:w="1433" w:type="dxa"/>
            <w:tcBorders>
              <w:top w:val="single" w:color="auto" w:sz="4" w:space="0"/>
              <w:left w:val="single" w:color="auto" w:sz="4" w:space="0"/>
              <w:bottom w:val="single" w:color="auto" w:sz="4" w:space="0"/>
              <w:right w:val="single" w:color="auto" w:sz="4" w:space="0"/>
            </w:tcBorders>
          </w:tcPr>
          <w:p w14:paraId="4D83D8ED">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23DCA19A">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6EB9C3BD">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0AE5D94B">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2E7FF40D">
            <w:pPr>
              <w:spacing w:line="360" w:lineRule="auto"/>
              <w:rPr>
                <w:rFonts w:hint="eastAsia" w:ascii="宋体" w:hAnsi="宋体" w:eastAsia="宋体" w:cs="宋体"/>
                <w:color w:val="auto"/>
                <w:sz w:val="21"/>
                <w:szCs w:val="21"/>
                <w:highlight w:val="none"/>
              </w:rPr>
            </w:pPr>
          </w:p>
        </w:tc>
      </w:tr>
      <w:tr w14:paraId="755AC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vAlign w:val="center"/>
          </w:tcPr>
          <w:p w14:paraId="4CCED6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64" w:type="dxa"/>
            <w:tcBorders>
              <w:top w:val="single" w:color="auto" w:sz="4" w:space="0"/>
              <w:left w:val="single" w:color="auto" w:sz="4" w:space="0"/>
              <w:bottom w:val="single" w:color="auto" w:sz="4" w:space="0"/>
              <w:right w:val="single" w:color="auto" w:sz="4" w:space="0"/>
            </w:tcBorders>
          </w:tcPr>
          <w:p w14:paraId="3EA53E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商务条款号2</w:t>
            </w:r>
          </w:p>
        </w:tc>
        <w:tc>
          <w:tcPr>
            <w:tcW w:w="1433" w:type="dxa"/>
            <w:tcBorders>
              <w:top w:val="single" w:color="auto" w:sz="4" w:space="0"/>
              <w:left w:val="single" w:color="auto" w:sz="4" w:space="0"/>
              <w:bottom w:val="single" w:color="auto" w:sz="4" w:space="0"/>
              <w:right w:val="single" w:color="auto" w:sz="4" w:space="0"/>
            </w:tcBorders>
          </w:tcPr>
          <w:p w14:paraId="266AF167">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081EE43F">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0B692DB4">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52765A8A">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231C28C7">
            <w:pPr>
              <w:spacing w:line="360" w:lineRule="auto"/>
              <w:rPr>
                <w:rFonts w:hint="eastAsia" w:ascii="宋体" w:hAnsi="宋体" w:eastAsia="宋体" w:cs="宋体"/>
                <w:color w:val="auto"/>
                <w:sz w:val="21"/>
                <w:szCs w:val="21"/>
                <w:highlight w:val="none"/>
              </w:rPr>
            </w:pPr>
          </w:p>
        </w:tc>
      </w:tr>
      <w:tr w14:paraId="59F66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tcPr>
          <w:p w14:paraId="0EA12540">
            <w:pPr>
              <w:spacing w:line="360" w:lineRule="auto"/>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4A15F2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33" w:type="dxa"/>
            <w:tcBorders>
              <w:top w:val="single" w:color="auto" w:sz="4" w:space="0"/>
              <w:left w:val="single" w:color="auto" w:sz="4" w:space="0"/>
              <w:bottom w:val="single" w:color="auto" w:sz="4" w:space="0"/>
              <w:right w:val="single" w:color="auto" w:sz="4" w:space="0"/>
            </w:tcBorders>
          </w:tcPr>
          <w:p w14:paraId="73BFE9AE">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6472678E">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0118C44F">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6C80A801">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7279ECEF">
            <w:pPr>
              <w:spacing w:line="360" w:lineRule="auto"/>
              <w:rPr>
                <w:rFonts w:hint="eastAsia" w:ascii="宋体" w:hAnsi="宋体" w:eastAsia="宋体" w:cs="宋体"/>
                <w:color w:val="auto"/>
                <w:sz w:val="21"/>
                <w:szCs w:val="21"/>
                <w:highlight w:val="none"/>
              </w:rPr>
            </w:pPr>
          </w:p>
        </w:tc>
      </w:tr>
      <w:tr w14:paraId="2CCBA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tcPr>
          <w:p w14:paraId="3B7D81C3">
            <w:pPr>
              <w:spacing w:line="360" w:lineRule="auto"/>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5FE5BECB">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499A1618">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75879907">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2F00A1A3">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1D5D625D">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1B734482">
            <w:pPr>
              <w:spacing w:line="360" w:lineRule="auto"/>
              <w:rPr>
                <w:rFonts w:hint="eastAsia" w:ascii="宋体" w:hAnsi="宋体" w:eastAsia="宋体" w:cs="宋体"/>
                <w:color w:val="auto"/>
                <w:sz w:val="21"/>
                <w:szCs w:val="21"/>
                <w:highlight w:val="none"/>
              </w:rPr>
            </w:pPr>
          </w:p>
        </w:tc>
      </w:tr>
      <w:tr w14:paraId="14E5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tcPr>
          <w:p w14:paraId="6F5E641F">
            <w:pPr>
              <w:spacing w:line="360" w:lineRule="auto"/>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4D57002A">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43FD7B86">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0D33D521">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32902348">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0E95B892">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18924C16">
            <w:pPr>
              <w:spacing w:line="360" w:lineRule="auto"/>
              <w:rPr>
                <w:rFonts w:hint="eastAsia" w:ascii="宋体" w:hAnsi="宋体" w:eastAsia="宋体" w:cs="宋体"/>
                <w:color w:val="auto"/>
                <w:sz w:val="21"/>
                <w:szCs w:val="21"/>
                <w:highlight w:val="none"/>
              </w:rPr>
            </w:pPr>
          </w:p>
        </w:tc>
      </w:tr>
      <w:tr w14:paraId="6CF3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tcPr>
          <w:p w14:paraId="7FD53F36">
            <w:pPr>
              <w:spacing w:line="360" w:lineRule="auto"/>
              <w:rPr>
                <w:rFonts w:hint="eastAsia" w:ascii="宋体" w:hAnsi="宋体" w:eastAsia="宋体" w:cs="宋体"/>
                <w:color w:val="auto"/>
                <w:sz w:val="21"/>
                <w:szCs w:val="21"/>
                <w:highlight w:val="none"/>
              </w:rPr>
            </w:pPr>
          </w:p>
        </w:tc>
        <w:tc>
          <w:tcPr>
            <w:tcW w:w="2464" w:type="dxa"/>
            <w:tcBorders>
              <w:top w:val="single" w:color="auto" w:sz="4" w:space="0"/>
              <w:left w:val="single" w:color="auto" w:sz="4" w:space="0"/>
              <w:bottom w:val="single" w:color="auto" w:sz="4" w:space="0"/>
              <w:right w:val="single" w:color="auto" w:sz="4" w:space="0"/>
            </w:tcBorders>
          </w:tcPr>
          <w:p w14:paraId="5B5D8628">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3A365FCA">
            <w:pPr>
              <w:spacing w:line="360" w:lineRule="auto"/>
              <w:rPr>
                <w:rFonts w:hint="eastAsia" w:ascii="宋体" w:hAnsi="宋体" w:eastAsia="宋体" w:cs="宋体"/>
                <w:color w:val="auto"/>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tcPr>
          <w:p w14:paraId="3BD796C0">
            <w:pPr>
              <w:spacing w:line="360" w:lineRule="auto"/>
              <w:rPr>
                <w:rFonts w:hint="eastAsia" w:ascii="宋体" w:hAnsi="宋体" w:eastAsia="宋体" w:cs="宋体"/>
                <w:color w:val="auto"/>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tcPr>
          <w:p w14:paraId="3AE6CB91">
            <w:pPr>
              <w:spacing w:line="360" w:lineRule="auto"/>
              <w:rPr>
                <w:rFonts w:hint="eastAsia" w:ascii="宋体" w:hAnsi="宋体" w:eastAsia="宋体" w:cs="宋体"/>
                <w:color w:val="auto"/>
                <w:sz w:val="21"/>
                <w:szCs w:val="21"/>
                <w:highlight w:val="none"/>
              </w:rPr>
            </w:pPr>
          </w:p>
        </w:tc>
        <w:tc>
          <w:tcPr>
            <w:tcW w:w="817" w:type="dxa"/>
            <w:tcBorders>
              <w:top w:val="single" w:color="auto" w:sz="4" w:space="0"/>
              <w:left w:val="single" w:color="auto" w:sz="4" w:space="0"/>
              <w:bottom w:val="single" w:color="auto" w:sz="4" w:space="0"/>
              <w:right w:val="single" w:color="auto" w:sz="4" w:space="0"/>
            </w:tcBorders>
          </w:tcPr>
          <w:p w14:paraId="256970E3">
            <w:pPr>
              <w:spacing w:line="360" w:lineRule="auto"/>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tcPr>
          <w:p w14:paraId="4DA6ACCA">
            <w:pPr>
              <w:spacing w:line="360" w:lineRule="auto"/>
              <w:rPr>
                <w:rFonts w:hint="eastAsia" w:ascii="宋体" w:hAnsi="宋体" w:eastAsia="宋体" w:cs="宋体"/>
                <w:color w:val="auto"/>
                <w:sz w:val="21"/>
                <w:szCs w:val="21"/>
                <w:highlight w:val="none"/>
              </w:rPr>
            </w:pPr>
          </w:p>
        </w:tc>
      </w:tr>
    </w:tbl>
    <w:p w14:paraId="7B82AED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438F236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1、该表左列列明了</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文件的要求，响应人须在右列对相应的内容进行填报；</w:t>
      </w:r>
    </w:p>
    <w:p w14:paraId="1276BBE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2、“有无偏差”一栏中响应人应对所投产品的技术参数与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文件的要求进行对比，如无偏差请填</w:t>
      </w:r>
    </w:p>
    <w:p w14:paraId="0002DC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写“无偏差”的字样，如有偏差请注明“正偏差”或“负偏差”字样；</w:t>
      </w:r>
    </w:p>
    <w:p w14:paraId="7E8090C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3、“偏差描述”一栏中由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对所投产品的技术性能对应</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文件要求就偏差之处作以重点描述；</w:t>
      </w:r>
    </w:p>
    <w:p w14:paraId="7874AA6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4、表格根据需要可由响应人自行添加。</w:t>
      </w:r>
    </w:p>
    <w:p w14:paraId="3193BF1D">
      <w:pPr>
        <w:adjustRightInd w:val="0"/>
        <w:snapToGrid w:val="0"/>
        <w:spacing w:line="360" w:lineRule="auto"/>
        <w:rPr>
          <w:rFonts w:hint="eastAsia" w:ascii="宋体" w:hAnsi="宋体" w:eastAsia="宋体" w:cs="宋体"/>
          <w:color w:val="auto"/>
          <w:sz w:val="21"/>
          <w:szCs w:val="21"/>
          <w:highlight w:val="none"/>
        </w:rPr>
      </w:pPr>
    </w:p>
    <w:p w14:paraId="127D5E78">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42264190">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6A0E3FBF">
      <w:pPr>
        <w:spacing w:line="360" w:lineRule="auto"/>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30955D3">
      <w:pPr>
        <w:jc w:val="center"/>
        <w:outlineLvl w:val="2"/>
        <w:rPr>
          <w:rFonts w:ascii="宋体" w:hAnsi="宋体" w:cs="宋体"/>
          <w:color w:val="auto"/>
          <w:sz w:val="28"/>
          <w:szCs w:val="28"/>
          <w:highlight w:val="none"/>
        </w:rPr>
      </w:pPr>
    </w:p>
    <w:p w14:paraId="03D30A83">
      <w:pPr>
        <w:jc w:val="center"/>
        <w:outlineLvl w:val="2"/>
        <w:rPr>
          <w:rFonts w:ascii="宋体" w:hAnsi="宋体" w:cs="宋体"/>
          <w:color w:val="auto"/>
          <w:sz w:val="28"/>
          <w:szCs w:val="28"/>
          <w:highlight w:val="none"/>
        </w:rPr>
      </w:pPr>
    </w:p>
    <w:bookmarkEnd w:id="183"/>
    <w:bookmarkEnd w:id="184"/>
    <w:bookmarkEnd w:id="185"/>
    <w:bookmarkEnd w:id="186"/>
    <w:bookmarkEnd w:id="187"/>
    <w:bookmarkEnd w:id="188"/>
    <w:bookmarkEnd w:id="189"/>
    <w:p w14:paraId="6BE562DE">
      <w:pPr>
        <w:pStyle w:val="3"/>
        <w:spacing w:before="0"/>
        <w:jc w:val="center"/>
        <w:rPr>
          <w:rFonts w:ascii="宋体" w:hAnsi="宋体"/>
          <w:b/>
          <w:color w:val="auto"/>
          <w:sz w:val="28"/>
          <w:highlight w:val="none"/>
        </w:rPr>
      </w:pPr>
      <w:r>
        <w:rPr>
          <w:rFonts w:hint="eastAsia" w:ascii="宋体" w:hAnsi="宋体"/>
          <w:b/>
          <w:color w:val="auto"/>
          <w:sz w:val="28"/>
          <w:highlight w:val="none"/>
        </w:rPr>
        <w:t>三、法定代表人身份证明</w:t>
      </w:r>
      <w:bookmarkEnd w:id="180"/>
      <w:bookmarkEnd w:id="181"/>
      <w:bookmarkEnd w:id="182"/>
    </w:p>
    <w:p w14:paraId="5F5B92C4">
      <w:pPr>
        <w:rPr>
          <w:rFonts w:ascii="宋体" w:hAnsi="宋体"/>
          <w:color w:val="auto"/>
          <w:sz w:val="24"/>
          <w:highlight w:val="none"/>
        </w:rPr>
      </w:pPr>
    </w:p>
    <w:p w14:paraId="7F6CD0C4">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2B17746">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E6AF644">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1E69D40">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日</w:t>
      </w:r>
    </w:p>
    <w:p w14:paraId="29B51294">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74BC5F4">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p>
    <w:p w14:paraId="28B0BF4D">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 xml:space="preserve">系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（供应商名称）的法定代表人。</w:t>
      </w:r>
    </w:p>
    <w:p w14:paraId="1E7627D5">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特此证明。</w:t>
      </w:r>
    </w:p>
    <w:p w14:paraId="39D71C6D">
      <w:pPr>
        <w:spacing w:line="480" w:lineRule="auto"/>
        <w:ind w:firstLine="539" w:firstLineChars="257"/>
        <w:rPr>
          <w:rFonts w:ascii="宋体" w:hAnsi="宋体" w:cs="宋体"/>
          <w:color w:val="auto"/>
          <w:sz w:val="21"/>
          <w:szCs w:val="21"/>
          <w:highlight w:val="none"/>
        </w:rPr>
      </w:pPr>
    </w:p>
    <w:p w14:paraId="7A0AD1D4">
      <w:pPr>
        <w:spacing w:line="480" w:lineRule="auto"/>
        <w:ind w:firstLine="539" w:firstLineChars="257"/>
        <w:rPr>
          <w:rFonts w:ascii="宋体" w:hAnsi="宋体" w:cs="宋体"/>
          <w:color w:val="auto"/>
          <w:sz w:val="21"/>
          <w:szCs w:val="21"/>
          <w:highlight w:val="none"/>
        </w:rPr>
      </w:pPr>
    </w:p>
    <w:p w14:paraId="35A1A094">
      <w:pPr>
        <w:spacing w:line="480" w:lineRule="auto"/>
        <w:ind w:firstLine="539" w:firstLineChars="257"/>
        <w:rPr>
          <w:rFonts w:ascii="宋体" w:hAnsi="宋体" w:cs="宋体"/>
          <w:color w:val="auto"/>
          <w:sz w:val="21"/>
          <w:szCs w:val="21"/>
          <w:highlight w:val="none"/>
        </w:rPr>
      </w:pPr>
    </w:p>
    <w:p w14:paraId="15B50B46">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（企业电子签章）</w:t>
      </w:r>
    </w:p>
    <w:p w14:paraId="1180ACBA">
      <w:pPr>
        <w:spacing w:line="480" w:lineRule="auto"/>
        <w:ind w:firstLine="539" w:firstLineChars="257"/>
        <w:rPr>
          <w:rFonts w:ascii="宋体" w:hAnsi="宋体" w:cs="宋体"/>
          <w:color w:val="auto"/>
          <w:sz w:val="21"/>
          <w:szCs w:val="21"/>
          <w:highlight w:val="none"/>
          <w:u w:val="single"/>
        </w:rPr>
      </w:pPr>
    </w:p>
    <w:p w14:paraId="6A627E4E">
      <w:pPr>
        <w:spacing w:line="480" w:lineRule="auto"/>
        <w:ind w:firstLine="539" w:firstLineChars="257"/>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0B358ECA">
      <w:pPr>
        <w:spacing w:line="480" w:lineRule="auto"/>
        <w:ind w:firstLine="616" w:firstLineChars="257"/>
        <w:rPr>
          <w:rFonts w:ascii="宋体" w:hAnsi="宋体"/>
          <w:color w:val="auto"/>
          <w:sz w:val="24"/>
          <w:highlight w:val="none"/>
        </w:rPr>
      </w:pPr>
    </w:p>
    <w:p w14:paraId="482FF855">
      <w:pPr>
        <w:spacing w:line="480" w:lineRule="auto"/>
        <w:ind w:firstLine="616" w:firstLineChars="257"/>
        <w:rPr>
          <w:rFonts w:ascii="宋体" w:hAnsi="宋体"/>
          <w:color w:val="auto"/>
          <w:sz w:val="24"/>
          <w:highlight w:val="none"/>
        </w:rPr>
      </w:pPr>
    </w:p>
    <w:p w14:paraId="21E79E25">
      <w:pPr>
        <w:spacing w:line="480" w:lineRule="auto"/>
        <w:ind w:firstLine="616" w:firstLineChars="257"/>
        <w:rPr>
          <w:rFonts w:ascii="宋体" w:hAnsi="宋体"/>
          <w:color w:val="auto"/>
          <w:sz w:val="24"/>
          <w:highlight w:val="none"/>
        </w:rPr>
      </w:pPr>
    </w:p>
    <w:p w14:paraId="73FCC567">
      <w:pPr>
        <w:pStyle w:val="52"/>
        <w:ind w:firstLine="480"/>
        <w:rPr>
          <w:rFonts w:ascii="宋体" w:hAnsi="宋体"/>
          <w:color w:val="auto"/>
          <w:sz w:val="24"/>
          <w:highlight w:val="none"/>
        </w:rPr>
      </w:pPr>
    </w:p>
    <w:p w14:paraId="161C3A66">
      <w:pPr>
        <w:pStyle w:val="52"/>
        <w:ind w:firstLine="480"/>
        <w:rPr>
          <w:rFonts w:ascii="宋体" w:hAnsi="宋体"/>
          <w:color w:val="auto"/>
          <w:sz w:val="24"/>
          <w:highlight w:val="none"/>
        </w:rPr>
      </w:pPr>
    </w:p>
    <w:p w14:paraId="01E4AAB3">
      <w:pPr>
        <w:pStyle w:val="52"/>
        <w:ind w:firstLine="480"/>
        <w:rPr>
          <w:rFonts w:ascii="宋体" w:hAnsi="宋体"/>
          <w:color w:val="auto"/>
          <w:sz w:val="24"/>
          <w:highlight w:val="none"/>
        </w:rPr>
      </w:pPr>
    </w:p>
    <w:p w14:paraId="31CB0F01">
      <w:pPr>
        <w:pStyle w:val="52"/>
        <w:ind w:firstLine="480"/>
        <w:rPr>
          <w:rFonts w:ascii="宋体" w:hAnsi="宋体"/>
          <w:color w:val="auto"/>
          <w:sz w:val="24"/>
          <w:highlight w:val="none"/>
        </w:rPr>
      </w:pPr>
    </w:p>
    <w:p w14:paraId="57840994">
      <w:pPr>
        <w:pStyle w:val="3"/>
        <w:jc w:val="center"/>
        <w:rPr>
          <w:rFonts w:ascii="宋体" w:hAnsi="宋体"/>
          <w:b/>
          <w:color w:val="auto"/>
          <w:sz w:val="28"/>
          <w:highlight w:val="none"/>
        </w:rPr>
      </w:pPr>
      <w:bookmarkStart w:id="192" w:name="_Toc317669241"/>
      <w:bookmarkStart w:id="193" w:name="_Toc25801"/>
      <w:bookmarkStart w:id="194" w:name="_Toc241904705"/>
      <w:r>
        <w:rPr>
          <w:rFonts w:hint="eastAsia" w:ascii="宋体" w:hAnsi="宋体"/>
          <w:b/>
          <w:color w:val="auto"/>
          <w:sz w:val="28"/>
          <w:highlight w:val="none"/>
        </w:rPr>
        <w:t>四、授权委托书</w:t>
      </w:r>
      <w:bookmarkEnd w:id="192"/>
      <w:bookmarkEnd w:id="193"/>
      <w:bookmarkEnd w:id="194"/>
    </w:p>
    <w:p w14:paraId="352754AB">
      <w:pPr>
        <w:spacing w:line="360" w:lineRule="auto"/>
        <w:ind w:left="141" w:leftChars="67" w:right="281" w:rightChars="134"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本人</w:t>
      </w:r>
      <w:r>
        <w:rPr>
          <w:rFonts w:hint="eastAsia" w:ascii="宋体" w:hAnsi="宋体" w:cs="宋体"/>
          <w:color w:val="auto"/>
          <w:sz w:val="21"/>
          <w:szCs w:val="21"/>
          <w:highlight w:val="none"/>
          <w:u w:val="single"/>
        </w:rPr>
        <w:t xml:space="preserve">       （姓名）</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（供应商名称）</w:t>
      </w:r>
      <w:r>
        <w:rPr>
          <w:rFonts w:hint="eastAsia" w:ascii="宋体" w:hAnsi="宋体" w:cs="宋体"/>
          <w:color w:val="auto"/>
          <w:sz w:val="21"/>
          <w:szCs w:val="21"/>
          <w:highlight w:val="none"/>
        </w:rPr>
        <w:t>的法定代表人，现委托</w:t>
      </w:r>
      <w:r>
        <w:rPr>
          <w:rFonts w:hint="eastAsia" w:ascii="宋体" w:hAnsi="宋体" w:cs="宋体"/>
          <w:color w:val="auto"/>
          <w:sz w:val="21"/>
          <w:szCs w:val="21"/>
          <w:highlight w:val="none"/>
          <w:u w:val="single"/>
        </w:rPr>
        <w:t xml:space="preserve"> （姓名）</w:t>
      </w:r>
      <w:r>
        <w:rPr>
          <w:rFonts w:hint="eastAsia" w:ascii="宋体" w:hAnsi="宋体" w:cs="宋体"/>
          <w:color w:val="auto"/>
          <w:sz w:val="21"/>
          <w:szCs w:val="21"/>
          <w:highlight w:val="none"/>
        </w:rPr>
        <w:t>为我方代理人。代理人根据授权，以我方名义签署、澄清、说明、补正、递交、撤回、修改</w:t>
      </w:r>
      <w:r>
        <w:rPr>
          <w:rFonts w:hint="eastAsia" w:ascii="宋体" w:hAnsi="宋体" w:cs="宋体"/>
          <w:color w:val="auto"/>
          <w:sz w:val="21"/>
          <w:szCs w:val="21"/>
          <w:highlight w:val="none"/>
          <w:u w:val="single"/>
        </w:rPr>
        <w:t xml:space="preserve">               （项目名称）</w:t>
      </w:r>
      <w:r>
        <w:rPr>
          <w:rFonts w:hint="eastAsia" w:ascii="宋体" w:hAnsi="宋体" w:cs="宋体"/>
          <w:color w:val="auto"/>
          <w:sz w:val="21"/>
          <w:szCs w:val="21"/>
          <w:highlight w:val="none"/>
        </w:rPr>
        <w:t>投标文件、签订合同和处理有关事宜，其法律后果由我方承担。</w:t>
      </w:r>
    </w:p>
    <w:p w14:paraId="4DB8C00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委托期限：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至本项目结束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7EBFF8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代理人无转委托权。</w:t>
      </w:r>
    </w:p>
    <w:p w14:paraId="7E2CEC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附：法定代表人身份证明及委托代理人身份证复印件。</w:t>
      </w:r>
    </w:p>
    <w:p w14:paraId="7A94297D">
      <w:pPr>
        <w:spacing w:line="360" w:lineRule="auto"/>
        <w:ind w:firstLine="420" w:firstLineChars="200"/>
        <w:rPr>
          <w:rFonts w:ascii="宋体" w:hAnsi="宋体" w:cs="宋体"/>
          <w:color w:val="auto"/>
          <w:sz w:val="21"/>
          <w:szCs w:val="21"/>
          <w:highlight w:val="none"/>
        </w:rPr>
      </w:pPr>
    </w:p>
    <w:p w14:paraId="564ACC9A">
      <w:pPr>
        <w:spacing w:line="360" w:lineRule="auto"/>
        <w:ind w:firstLine="420" w:firstLineChars="200"/>
        <w:rPr>
          <w:rFonts w:ascii="宋体" w:hAnsi="宋体" w:cs="宋体"/>
          <w:color w:val="auto"/>
          <w:sz w:val="21"/>
          <w:szCs w:val="21"/>
          <w:highlight w:val="none"/>
        </w:rPr>
      </w:pPr>
    </w:p>
    <w:p w14:paraId="0B22D768">
      <w:pPr>
        <w:spacing w:line="360" w:lineRule="auto"/>
        <w:rPr>
          <w:rFonts w:ascii="宋体" w:hAnsi="宋体" w:cs="宋体"/>
          <w:color w:val="auto"/>
          <w:sz w:val="21"/>
          <w:szCs w:val="21"/>
          <w:highlight w:val="none"/>
        </w:rPr>
      </w:pPr>
    </w:p>
    <w:p w14:paraId="66650BCF">
      <w:pPr>
        <w:spacing w:line="360" w:lineRule="auto"/>
        <w:ind w:firstLine="403" w:firstLineChars="192"/>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（企业电子签章）</w:t>
      </w:r>
    </w:p>
    <w:p w14:paraId="23692480">
      <w:pPr>
        <w:spacing w:line="360" w:lineRule="auto"/>
        <w:ind w:firstLine="403" w:firstLineChars="192"/>
        <w:rPr>
          <w:rFonts w:ascii="宋体" w:hAnsi="宋体" w:cs="宋体"/>
          <w:color w:val="auto"/>
          <w:sz w:val="21"/>
          <w:szCs w:val="21"/>
          <w:highlight w:val="none"/>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u w:val="single"/>
        </w:rPr>
        <w:t xml:space="preserve">                     </w:t>
      </w:r>
      <w:r>
        <w:rPr>
          <w:rFonts w:hint="eastAsia" w:ascii="宋体" w:hAnsi="宋体"/>
          <w:color w:val="auto"/>
          <w:sz w:val="21"/>
          <w:szCs w:val="21"/>
          <w:highlight w:val="none"/>
        </w:rPr>
        <w:t>（个人电子签章）</w:t>
      </w:r>
    </w:p>
    <w:p w14:paraId="196BC0DD">
      <w:pPr>
        <w:spacing w:line="360" w:lineRule="auto"/>
        <w:ind w:firstLine="403" w:firstLineChars="192"/>
        <w:rPr>
          <w:rFonts w:ascii="宋体" w:hAnsi="宋体" w:cs="宋体"/>
          <w:color w:val="auto"/>
          <w:sz w:val="21"/>
          <w:szCs w:val="21"/>
          <w:highlight w:val="non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14:paraId="56D91E09">
      <w:pPr>
        <w:spacing w:line="360" w:lineRule="auto"/>
        <w:ind w:firstLine="403" w:firstLineChars="192"/>
        <w:rPr>
          <w:rFonts w:ascii="宋体" w:hAnsi="宋体" w:cs="宋体"/>
          <w:color w:val="auto"/>
          <w:sz w:val="21"/>
          <w:szCs w:val="21"/>
          <w:highlight w:val="none"/>
        </w:rPr>
      </w:pPr>
    </w:p>
    <w:p w14:paraId="62C2B543">
      <w:pPr>
        <w:spacing w:line="360" w:lineRule="auto"/>
        <w:ind w:firstLine="403" w:firstLineChars="192"/>
        <w:rPr>
          <w:rFonts w:ascii="宋体" w:hAnsi="宋体" w:cs="宋体"/>
          <w:color w:val="auto"/>
          <w:sz w:val="21"/>
          <w:szCs w:val="21"/>
          <w:highlight w:val="none"/>
        </w:rPr>
      </w:pPr>
      <w:r>
        <w:rPr>
          <w:rFonts w:hint="eastAsia" w:ascii="宋体" w:hAnsi="宋体" w:cs="宋体"/>
          <w:color w:val="auto"/>
          <w:sz w:val="21"/>
          <w:szCs w:val="21"/>
          <w:highlight w:val="none"/>
        </w:rPr>
        <w:t>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14:paraId="3B72A6CB">
      <w:pPr>
        <w:spacing w:line="360" w:lineRule="auto"/>
        <w:ind w:firstLine="403" w:firstLineChars="192"/>
        <w:rPr>
          <w:rFonts w:ascii="宋体" w:hAnsi="宋体" w:cs="宋体"/>
          <w:color w:val="auto"/>
          <w:sz w:val="21"/>
          <w:szCs w:val="21"/>
          <w:highlight w:val="non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14:paraId="7CBCA89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3BF6D01">
      <w:pPr>
        <w:pStyle w:val="28"/>
        <w:ind w:firstLine="240"/>
        <w:rPr>
          <w:rFonts w:ascii="宋体" w:hAnsi="宋体" w:cs="宋体"/>
          <w:color w:val="auto"/>
          <w:sz w:val="21"/>
          <w:szCs w:val="21"/>
          <w:highlight w:val="none"/>
        </w:rPr>
      </w:pPr>
    </w:p>
    <w:p w14:paraId="122FE7E0">
      <w:pPr>
        <w:pStyle w:val="28"/>
        <w:ind w:firstLine="24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60CF50F">
      <w:pPr>
        <w:spacing w:line="360" w:lineRule="auto"/>
        <w:ind w:left="2520" w:leftChars="1200" w:right="359" w:rightChars="171"/>
        <w:jc w:val="center"/>
        <w:rPr>
          <w:rFonts w:hint="eastAsia" w:ascii="宋体" w:hAnsi="宋体" w:eastAsia="宋体" w:cs="宋体"/>
          <w:color w:val="auto"/>
          <w:sz w:val="21"/>
          <w:szCs w:val="21"/>
          <w:highlight w:val="none"/>
          <w:lang w:eastAsia="zh-CN"/>
        </w:rPr>
        <w:sectPr>
          <w:headerReference r:id="rId5" w:type="default"/>
          <w:footerReference r:id="rId6" w:type="default"/>
          <w:pgSz w:w="12240" w:h="15840"/>
          <w:pgMar w:top="1531" w:right="1327" w:bottom="1417" w:left="1474" w:header="720" w:footer="720" w:gutter="0"/>
          <w:cols w:space="720" w:num="1"/>
          <w:docGrid w:linePitch="286" w:charSpace="0"/>
        </w:sect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lang w:eastAsia="zh-CN"/>
        </w:rPr>
        <w:t>日</w:t>
      </w:r>
    </w:p>
    <w:p w14:paraId="437ADE34">
      <w:pPr>
        <w:pStyle w:val="3"/>
        <w:jc w:val="both"/>
        <w:rPr>
          <w:rFonts w:ascii="宋体" w:hAnsi="宋体"/>
          <w:b/>
          <w:color w:val="auto"/>
          <w:sz w:val="28"/>
          <w:szCs w:val="22"/>
          <w:highlight w:val="none"/>
        </w:rPr>
      </w:pPr>
      <w:bookmarkStart w:id="195" w:name="_Toc413335880"/>
      <w:bookmarkStart w:id="196" w:name="_Toc9160"/>
      <w:bookmarkStart w:id="197" w:name="_Toc221424053"/>
      <w:bookmarkStart w:id="198" w:name="_Toc28067"/>
      <w:bookmarkStart w:id="199" w:name="_Toc20729"/>
      <w:bookmarkStart w:id="200" w:name="_Toc23723"/>
      <w:bookmarkStart w:id="201" w:name="_Toc271793027"/>
      <w:bookmarkStart w:id="202" w:name="_Toc276230932"/>
      <w:bookmarkStart w:id="203" w:name="_Toc276229574"/>
      <w:bookmarkStart w:id="204" w:name="_Toc6678"/>
      <w:bookmarkStart w:id="205" w:name="_Toc317669267"/>
    </w:p>
    <w:bookmarkEnd w:id="195"/>
    <w:bookmarkEnd w:id="196"/>
    <w:bookmarkEnd w:id="197"/>
    <w:bookmarkEnd w:id="198"/>
    <w:bookmarkEnd w:id="199"/>
    <w:bookmarkEnd w:id="200"/>
    <w:bookmarkEnd w:id="201"/>
    <w:p w14:paraId="15E9E81F">
      <w:pPr>
        <w:pStyle w:val="3"/>
        <w:jc w:val="center"/>
        <w:rPr>
          <w:rFonts w:ascii="宋体" w:hAnsi="宋体"/>
          <w:b/>
          <w:color w:val="auto"/>
          <w:sz w:val="28"/>
          <w:szCs w:val="22"/>
          <w:highlight w:val="none"/>
        </w:rPr>
      </w:pPr>
      <w:r>
        <w:rPr>
          <w:rFonts w:hint="eastAsia" w:ascii="宋体" w:hAnsi="宋体"/>
          <w:b/>
          <w:color w:val="auto"/>
          <w:sz w:val="28"/>
          <w:szCs w:val="22"/>
          <w:highlight w:val="none"/>
        </w:rPr>
        <w:t>五、</w:t>
      </w:r>
      <w:r>
        <w:rPr>
          <w:rFonts w:hint="eastAsia" w:ascii="宋体" w:hAnsi="宋体"/>
          <w:b/>
          <w:color w:val="auto"/>
          <w:sz w:val="28"/>
          <w:szCs w:val="22"/>
          <w:highlight w:val="none"/>
          <w:lang w:eastAsia="zh-CN"/>
        </w:rPr>
        <w:t>供货（实施）</w:t>
      </w:r>
      <w:r>
        <w:rPr>
          <w:rFonts w:hint="eastAsia" w:ascii="宋体" w:hAnsi="宋体"/>
          <w:b/>
          <w:color w:val="auto"/>
          <w:sz w:val="28"/>
          <w:szCs w:val="22"/>
          <w:highlight w:val="none"/>
        </w:rPr>
        <w:t>方案及售后服务计划</w:t>
      </w:r>
    </w:p>
    <w:p w14:paraId="4B737E6F">
      <w:pPr>
        <w:pStyle w:val="3"/>
        <w:jc w:val="center"/>
        <w:rPr>
          <w:rFonts w:hint="eastAsia" w:ascii="宋体" w:hAnsi="宋体" w:eastAsia="宋体"/>
          <w:b/>
          <w:color w:val="auto"/>
          <w:sz w:val="28"/>
          <w:szCs w:val="22"/>
          <w:highlight w:val="none"/>
          <w:lang w:eastAsia="zh-CN"/>
        </w:rPr>
      </w:pPr>
    </w:p>
    <w:p w14:paraId="1E110B3A">
      <w:pPr>
        <w:spacing w:line="360" w:lineRule="auto"/>
        <w:rPr>
          <w:rFonts w:ascii="宋体" w:hAnsi="宋体" w:cs="宋体"/>
          <w:color w:val="auto"/>
          <w:sz w:val="24"/>
          <w:szCs w:val="24"/>
          <w:highlight w:val="none"/>
        </w:rPr>
      </w:pPr>
    </w:p>
    <w:p w14:paraId="0104CE18">
      <w:pPr>
        <w:pStyle w:val="3"/>
        <w:jc w:val="center"/>
        <w:rPr>
          <w:rFonts w:ascii="宋体" w:hAnsi="宋体"/>
          <w:b/>
          <w:color w:val="auto"/>
          <w:sz w:val="28"/>
          <w:szCs w:val="22"/>
          <w:highlight w:val="none"/>
        </w:rPr>
      </w:pPr>
      <w:bookmarkStart w:id="206" w:name="_Toc32273"/>
      <w:bookmarkStart w:id="207" w:name="_Toc18751"/>
      <w:bookmarkStart w:id="208" w:name="_Toc271793028"/>
      <w:bookmarkStart w:id="209" w:name="_Toc221424054"/>
      <w:bookmarkStart w:id="210" w:name="_Toc18562"/>
      <w:bookmarkStart w:id="211" w:name="_Toc413335881"/>
      <w:bookmarkStart w:id="212" w:name="_Toc22484"/>
    </w:p>
    <w:p w14:paraId="05BBBE45">
      <w:pPr>
        <w:rPr>
          <w:color w:val="auto"/>
          <w:highlight w:val="none"/>
        </w:rPr>
      </w:pPr>
    </w:p>
    <w:p w14:paraId="6656ACD5">
      <w:pPr>
        <w:pStyle w:val="29"/>
        <w:ind w:firstLine="640"/>
        <w:rPr>
          <w:color w:val="auto"/>
          <w:highlight w:val="none"/>
        </w:rPr>
      </w:pPr>
    </w:p>
    <w:p w14:paraId="69C63F4A">
      <w:pPr>
        <w:pStyle w:val="29"/>
        <w:ind w:firstLine="640"/>
        <w:rPr>
          <w:color w:val="auto"/>
          <w:highlight w:val="none"/>
        </w:rPr>
      </w:pPr>
    </w:p>
    <w:p w14:paraId="78F25777">
      <w:pPr>
        <w:pStyle w:val="29"/>
        <w:ind w:firstLine="640"/>
        <w:rPr>
          <w:color w:val="auto"/>
          <w:highlight w:val="none"/>
        </w:rPr>
      </w:pPr>
    </w:p>
    <w:p w14:paraId="1D68E6AD">
      <w:pPr>
        <w:pStyle w:val="29"/>
        <w:ind w:firstLine="640"/>
        <w:rPr>
          <w:color w:val="auto"/>
          <w:highlight w:val="none"/>
        </w:rPr>
      </w:pPr>
    </w:p>
    <w:p w14:paraId="5A272825">
      <w:pPr>
        <w:pStyle w:val="29"/>
        <w:ind w:firstLine="640"/>
        <w:rPr>
          <w:color w:val="auto"/>
          <w:highlight w:val="none"/>
        </w:rPr>
      </w:pPr>
    </w:p>
    <w:p w14:paraId="1BEDB36D">
      <w:pPr>
        <w:pStyle w:val="29"/>
        <w:ind w:firstLine="640"/>
        <w:rPr>
          <w:color w:val="auto"/>
          <w:highlight w:val="none"/>
        </w:rPr>
      </w:pPr>
    </w:p>
    <w:p w14:paraId="464BEE8A">
      <w:pPr>
        <w:pStyle w:val="29"/>
        <w:ind w:firstLine="640"/>
        <w:rPr>
          <w:color w:val="auto"/>
          <w:highlight w:val="none"/>
        </w:rPr>
      </w:pPr>
    </w:p>
    <w:p w14:paraId="3380ED99">
      <w:pPr>
        <w:pStyle w:val="29"/>
        <w:ind w:firstLine="640"/>
        <w:rPr>
          <w:color w:val="auto"/>
          <w:highlight w:val="none"/>
        </w:rPr>
      </w:pPr>
    </w:p>
    <w:p w14:paraId="7728D01D">
      <w:pPr>
        <w:pStyle w:val="29"/>
        <w:ind w:firstLine="640"/>
        <w:rPr>
          <w:color w:val="auto"/>
          <w:highlight w:val="none"/>
        </w:rPr>
      </w:pPr>
    </w:p>
    <w:p w14:paraId="1D585837">
      <w:pPr>
        <w:pStyle w:val="29"/>
        <w:ind w:firstLine="640"/>
        <w:rPr>
          <w:color w:val="auto"/>
          <w:highlight w:val="none"/>
        </w:rPr>
      </w:pPr>
    </w:p>
    <w:p w14:paraId="5E97513A">
      <w:pPr>
        <w:pStyle w:val="29"/>
        <w:ind w:firstLine="640"/>
        <w:rPr>
          <w:color w:val="auto"/>
          <w:highlight w:val="none"/>
        </w:rPr>
      </w:pPr>
    </w:p>
    <w:p w14:paraId="67A9C7C2">
      <w:pPr>
        <w:pStyle w:val="29"/>
        <w:ind w:firstLine="640"/>
        <w:rPr>
          <w:color w:val="auto"/>
          <w:highlight w:val="none"/>
        </w:rPr>
      </w:pPr>
    </w:p>
    <w:p w14:paraId="13B1619F">
      <w:pPr>
        <w:pStyle w:val="29"/>
        <w:ind w:firstLine="640"/>
        <w:rPr>
          <w:color w:val="auto"/>
          <w:highlight w:val="none"/>
        </w:rPr>
      </w:pPr>
    </w:p>
    <w:p w14:paraId="68767278">
      <w:pPr>
        <w:pStyle w:val="29"/>
        <w:ind w:firstLine="640"/>
        <w:rPr>
          <w:color w:val="auto"/>
          <w:highlight w:val="none"/>
        </w:rPr>
      </w:pPr>
    </w:p>
    <w:p w14:paraId="6D01406C">
      <w:pPr>
        <w:rPr>
          <w:color w:val="auto"/>
          <w:highlight w:val="none"/>
        </w:rPr>
      </w:pPr>
    </w:p>
    <w:p w14:paraId="4C1904AF">
      <w:pPr>
        <w:pStyle w:val="28"/>
        <w:rPr>
          <w:color w:val="auto"/>
          <w:highlight w:val="none"/>
        </w:rPr>
      </w:pPr>
    </w:p>
    <w:p w14:paraId="3E828519">
      <w:pPr>
        <w:pStyle w:val="29"/>
        <w:rPr>
          <w:color w:val="auto"/>
          <w:highlight w:val="none"/>
        </w:rPr>
      </w:pPr>
    </w:p>
    <w:p w14:paraId="6C9FE875">
      <w:pPr>
        <w:rPr>
          <w:color w:val="auto"/>
          <w:highlight w:val="none"/>
        </w:rPr>
      </w:pPr>
    </w:p>
    <w:p w14:paraId="123E2AEB">
      <w:pPr>
        <w:pStyle w:val="28"/>
        <w:rPr>
          <w:color w:val="auto"/>
          <w:highlight w:val="none"/>
        </w:rPr>
      </w:pPr>
    </w:p>
    <w:p w14:paraId="349D4735">
      <w:pPr>
        <w:pStyle w:val="29"/>
        <w:rPr>
          <w:color w:val="auto"/>
          <w:highlight w:val="none"/>
        </w:rPr>
      </w:pPr>
    </w:p>
    <w:p w14:paraId="49E1849E">
      <w:pPr>
        <w:rPr>
          <w:color w:val="auto"/>
          <w:highlight w:val="none"/>
        </w:rPr>
      </w:pPr>
    </w:p>
    <w:p w14:paraId="3482C670">
      <w:pPr>
        <w:pStyle w:val="28"/>
        <w:rPr>
          <w:color w:val="auto"/>
          <w:highlight w:val="none"/>
        </w:rPr>
      </w:pPr>
    </w:p>
    <w:p w14:paraId="1FD65348">
      <w:pPr>
        <w:pStyle w:val="29"/>
        <w:rPr>
          <w:color w:val="auto"/>
          <w:highlight w:val="none"/>
        </w:rPr>
      </w:pPr>
    </w:p>
    <w:p w14:paraId="419D27E9">
      <w:pPr>
        <w:rPr>
          <w:color w:val="auto"/>
          <w:highlight w:val="none"/>
        </w:rPr>
      </w:pPr>
    </w:p>
    <w:p w14:paraId="4BD3765A">
      <w:pPr>
        <w:pStyle w:val="28"/>
        <w:rPr>
          <w:color w:val="auto"/>
          <w:highlight w:val="none"/>
        </w:rPr>
      </w:pPr>
    </w:p>
    <w:p w14:paraId="2E562E0E">
      <w:pPr>
        <w:pStyle w:val="29"/>
        <w:rPr>
          <w:color w:val="auto"/>
          <w:highlight w:val="none"/>
        </w:rPr>
      </w:pPr>
    </w:p>
    <w:p w14:paraId="4EC6701B">
      <w:pPr>
        <w:rPr>
          <w:color w:val="auto"/>
          <w:highlight w:val="none"/>
        </w:rPr>
      </w:pPr>
    </w:p>
    <w:p w14:paraId="3586F3C0">
      <w:pPr>
        <w:pStyle w:val="29"/>
        <w:ind w:firstLine="640"/>
        <w:rPr>
          <w:color w:val="auto"/>
          <w:highlight w:val="none"/>
        </w:rPr>
      </w:pPr>
    </w:p>
    <w:bookmarkEnd w:id="206"/>
    <w:bookmarkEnd w:id="207"/>
    <w:bookmarkEnd w:id="208"/>
    <w:bookmarkEnd w:id="209"/>
    <w:bookmarkEnd w:id="210"/>
    <w:bookmarkEnd w:id="211"/>
    <w:bookmarkEnd w:id="212"/>
    <w:p w14:paraId="1B56A171">
      <w:pPr>
        <w:pStyle w:val="3"/>
        <w:jc w:val="center"/>
        <w:rPr>
          <w:rFonts w:ascii="宋体" w:hAnsi="宋体"/>
          <w:b/>
          <w:color w:val="auto"/>
          <w:sz w:val="28"/>
          <w:highlight w:val="none"/>
        </w:rPr>
      </w:pPr>
      <w:r>
        <w:rPr>
          <w:rFonts w:hint="eastAsia" w:ascii="宋体" w:hAnsi="宋体"/>
          <w:b/>
          <w:color w:val="auto"/>
          <w:sz w:val="28"/>
          <w:highlight w:val="none"/>
        </w:rPr>
        <w:t>六、资格审查资料</w:t>
      </w:r>
      <w:bookmarkEnd w:id="202"/>
      <w:bookmarkEnd w:id="203"/>
      <w:bookmarkEnd w:id="204"/>
      <w:bookmarkEnd w:id="205"/>
    </w:p>
    <w:bookmarkEnd w:id="157"/>
    <w:p w14:paraId="47797886">
      <w:pPr>
        <w:pStyle w:val="54"/>
        <w:spacing w:afterLines="50"/>
        <w:jc w:val="center"/>
        <w:rPr>
          <w:rFonts w:ascii="宋体" w:hAnsi="宋体" w:eastAsia="宋体"/>
          <w:color w:val="auto"/>
          <w:szCs w:val="24"/>
          <w:highlight w:val="none"/>
        </w:rPr>
      </w:pPr>
      <w:bookmarkStart w:id="213" w:name="_Toc30301"/>
      <w:bookmarkStart w:id="214" w:name="_Toc297882103"/>
      <w:bookmarkStart w:id="215" w:name="_Toc258652560"/>
      <w:bookmarkStart w:id="216" w:name="_Toc353882073"/>
      <w:bookmarkStart w:id="217" w:name="_Toc144974876"/>
      <w:bookmarkStart w:id="218" w:name="_Toc152045808"/>
      <w:bookmarkStart w:id="219" w:name="_Toc152042597"/>
      <w:r>
        <w:rPr>
          <w:rFonts w:ascii="宋体" w:hAnsi="宋体" w:eastAsia="宋体"/>
          <w:color w:val="auto"/>
          <w:szCs w:val="24"/>
          <w:highlight w:val="none"/>
        </w:rPr>
        <w:t>（一）供应商基本情况表</w:t>
      </w:r>
      <w:bookmarkEnd w:id="213"/>
      <w:bookmarkEnd w:id="214"/>
      <w:bookmarkEnd w:id="215"/>
      <w:bookmarkEnd w:id="216"/>
      <w:bookmarkEnd w:id="217"/>
      <w:bookmarkEnd w:id="218"/>
      <w:bookmarkEnd w:id="219"/>
    </w:p>
    <w:tbl>
      <w:tblPr>
        <w:tblStyle w:val="30"/>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51"/>
        <w:gridCol w:w="1083"/>
        <w:gridCol w:w="1053"/>
        <w:gridCol w:w="300"/>
        <w:gridCol w:w="207"/>
        <w:gridCol w:w="1322"/>
        <w:gridCol w:w="276"/>
        <w:gridCol w:w="752"/>
        <w:gridCol w:w="1502"/>
      </w:tblGrid>
      <w:tr w14:paraId="565A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759B4E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446" w:type="dxa"/>
            <w:gridSpan w:val="9"/>
            <w:vAlign w:val="center"/>
          </w:tcPr>
          <w:p w14:paraId="266A2EDE">
            <w:pPr>
              <w:jc w:val="center"/>
              <w:rPr>
                <w:rFonts w:hint="eastAsia" w:ascii="宋体" w:hAnsi="宋体" w:eastAsia="宋体" w:cs="宋体"/>
                <w:color w:val="auto"/>
                <w:sz w:val="21"/>
                <w:szCs w:val="21"/>
                <w:highlight w:val="none"/>
              </w:rPr>
            </w:pPr>
          </w:p>
        </w:tc>
      </w:tr>
      <w:tr w14:paraId="3971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0A703E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594" w:type="dxa"/>
            <w:gridSpan w:val="5"/>
            <w:vAlign w:val="center"/>
          </w:tcPr>
          <w:p w14:paraId="718854C0">
            <w:pPr>
              <w:jc w:val="center"/>
              <w:rPr>
                <w:rFonts w:hint="eastAsia" w:ascii="宋体" w:hAnsi="宋体" w:eastAsia="宋体" w:cs="宋体"/>
                <w:color w:val="auto"/>
                <w:sz w:val="21"/>
                <w:szCs w:val="21"/>
                <w:highlight w:val="none"/>
              </w:rPr>
            </w:pPr>
          </w:p>
        </w:tc>
        <w:tc>
          <w:tcPr>
            <w:tcW w:w="1322" w:type="dxa"/>
            <w:vAlign w:val="center"/>
          </w:tcPr>
          <w:p w14:paraId="16E42D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530" w:type="dxa"/>
            <w:gridSpan w:val="3"/>
            <w:vAlign w:val="center"/>
          </w:tcPr>
          <w:p w14:paraId="4CE8145C">
            <w:pPr>
              <w:jc w:val="center"/>
              <w:rPr>
                <w:rFonts w:hint="eastAsia" w:ascii="宋体" w:hAnsi="宋体" w:eastAsia="宋体" w:cs="宋体"/>
                <w:color w:val="auto"/>
                <w:sz w:val="21"/>
                <w:szCs w:val="21"/>
                <w:highlight w:val="none"/>
              </w:rPr>
            </w:pPr>
          </w:p>
        </w:tc>
      </w:tr>
      <w:tr w14:paraId="70D0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5" w:type="dxa"/>
            <w:vMerge w:val="restart"/>
            <w:vAlign w:val="center"/>
          </w:tcPr>
          <w:p w14:paraId="3E4BC8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51" w:type="dxa"/>
            <w:vAlign w:val="center"/>
          </w:tcPr>
          <w:p w14:paraId="6ECF95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643" w:type="dxa"/>
            <w:gridSpan w:val="4"/>
            <w:vAlign w:val="center"/>
          </w:tcPr>
          <w:p w14:paraId="4AAA26F0">
            <w:pPr>
              <w:jc w:val="center"/>
              <w:rPr>
                <w:rFonts w:hint="eastAsia" w:ascii="宋体" w:hAnsi="宋体" w:eastAsia="宋体" w:cs="宋体"/>
                <w:color w:val="auto"/>
                <w:sz w:val="21"/>
                <w:szCs w:val="21"/>
                <w:highlight w:val="none"/>
              </w:rPr>
            </w:pPr>
          </w:p>
        </w:tc>
        <w:tc>
          <w:tcPr>
            <w:tcW w:w="1322" w:type="dxa"/>
            <w:vAlign w:val="center"/>
          </w:tcPr>
          <w:p w14:paraId="306F15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530" w:type="dxa"/>
            <w:gridSpan w:val="3"/>
            <w:vAlign w:val="center"/>
          </w:tcPr>
          <w:p w14:paraId="57116A50">
            <w:pPr>
              <w:jc w:val="center"/>
              <w:rPr>
                <w:rFonts w:hint="eastAsia" w:ascii="宋体" w:hAnsi="宋体" w:eastAsia="宋体" w:cs="宋体"/>
                <w:color w:val="auto"/>
                <w:sz w:val="21"/>
                <w:szCs w:val="21"/>
                <w:highlight w:val="none"/>
              </w:rPr>
            </w:pPr>
          </w:p>
        </w:tc>
      </w:tr>
      <w:tr w14:paraId="75EF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5" w:type="dxa"/>
            <w:vMerge w:val="continue"/>
            <w:vAlign w:val="center"/>
          </w:tcPr>
          <w:p w14:paraId="616A3C8B">
            <w:pPr>
              <w:jc w:val="center"/>
              <w:rPr>
                <w:rFonts w:hint="eastAsia" w:ascii="宋体" w:hAnsi="宋体" w:eastAsia="宋体" w:cs="宋体"/>
                <w:color w:val="auto"/>
                <w:sz w:val="21"/>
                <w:szCs w:val="21"/>
                <w:highlight w:val="none"/>
              </w:rPr>
            </w:pPr>
          </w:p>
        </w:tc>
        <w:tc>
          <w:tcPr>
            <w:tcW w:w="951" w:type="dxa"/>
            <w:vAlign w:val="center"/>
          </w:tcPr>
          <w:p w14:paraId="420EB8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643" w:type="dxa"/>
            <w:gridSpan w:val="4"/>
            <w:vAlign w:val="center"/>
          </w:tcPr>
          <w:p w14:paraId="343A2CAE">
            <w:pPr>
              <w:jc w:val="center"/>
              <w:rPr>
                <w:rFonts w:hint="eastAsia" w:ascii="宋体" w:hAnsi="宋体" w:eastAsia="宋体" w:cs="宋体"/>
                <w:color w:val="auto"/>
                <w:sz w:val="21"/>
                <w:szCs w:val="21"/>
                <w:highlight w:val="none"/>
              </w:rPr>
            </w:pPr>
          </w:p>
        </w:tc>
        <w:tc>
          <w:tcPr>
            <w:tcW w:w="1322" w:type="dxa"/>
            <w:vAlign w:val="center"/>
          </w:tcPr>
          <w:p w14:paraId="68E525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530" w:type="dxa"/>
            <w:gridSpan w:val="3"/>
            <w:vAlign w:val="center"/>
          </w:tcPr>
          <w:p w14:paraId="29D511AE">
            <w:pPr>
              <w:jc w:val="center"/>
              <w:rPr>
                <w:rFonts w:hint="eastAsia" w:ascii="宋体" w:hAnsi="宋体" w:eastAsia="宋体" w:cs="宋体"/>
                <w:color w:val="auto"/>
                <w:sz w:val="21"/>
                <w:szCs w:val="21"/>
                <w:highlight w:val="none"/>
              </w:rPr>
            </w:pPr>
          </w:p>
        </w:tc>
      </w:tr>
      <w:tr w14:paraId="7D98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3C32B7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446" w:type="dxa"/>
            <w:gridSpan w:val="9"/>
            <w:vAlign w:val="center"/>
          </w:tcPr>
          <w:p w14:paraId="7AE0FD46">
            <w:pPr>
              <w:jc w:val="center"/>
              <w:rPr>
                <w:rFonts w:hint="eastAsia" w:ascii="宋体" w:hAnsi="宋体" w:eastAsia="宋体" w:cs="宋体"/>
                <w:color w:val="auto"/>
                <w:sz w:val="21"/>
                <w:szCs w:val="21"/>
                <w:highlight w:val="none"/>
              </w:rPr>
            </w:pPr>
          </w:p>
        </w:tc>
      </w:tr>
      <w:tr w14:paraId="1DE0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605483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51" w:type="dxa"/>
            <w:vAlign w:val="center"/>
          </w:tcPr>
          <w:p w14:paraId="65CF85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83" w:type="dxa"/>
            <w:vAlign w:val="center"/>
          </w:tcPr>
          <w:p w14:paraId="69A09560">
            <w:pPr>
              <w:jc w:val="center"/>
              <w:rPr>
                <w:rFonts w:hint="eastAsia" w:ascii="宋体" w:hAnsi="宋体" w:eastAsia="宋体" w:cs="宋体"/>
                <w:color w:val="auto"/>
                <w:sz w:val="21"/>
                <w:szCs w:val="21"/>
                <w:highlight w:val="none"/>
              </w:rPr>
            </w:pPr>
          </w:p>
        </w:tc>
        <w:tc>
          <w:tcPr>
            <w:tcW w:w="1353" w:type="dxa"/>
            <w:gridSpan w:val="2"/>
            <w:vAlign w:val="center"/>
          </w:tcPr>
          <w:p w14:paraId="159C2B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05" w:type="dxa"/>
            <w:gridSpan w:val="3"/>
            <w:vAlign w:val="center"/>
          </w:tcPr>
          <w:p w14:paraId="2E23BA7A">
            <w:pPr>
              <w:jc w:val="center"/>
              <w:rPr>
                <w:rFonts w:hint="eastAsia" w:ascii="宋体" w:hAnsi="宋体" w:eastAsia="宋体" w:cs="宋体"/>
                <w:color w:val="auto"/>
                <w:sz w:val="21"/>
                <w:szCs w:val="21"/>
                <w:highlight w:val="none"/>
              </w:rPr>
            </w:pPr>
          </w:p>
        </w:tc>
        <w:tc>
          <w:tcPr>
            <w:tcW w:w="752" w:type="dxa"/>
            <w:vAlign w:val="center"/>
          </w:tcPr>
          <w:p w14:paraId="2A2DFE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02" w:type="dxa"/>
            <w:vAlign w:val="center"/>
          </w:tcPr>
          <w:p w14:paraId="36C889EB">
            <w:pPr>
              <w:jc w:val="center"/>
              <w:rPr>
                <w:rFonts w:hint="eastAsia" w:ascii="宋体" w:hAnsi="宋体" w:eastAsia="宋体" w:cs="宋体"/>
                <w:color w:val="auto"/>
                <w:sz w:val="21"/>
                <w:szCs w:val="21"/>
                <w:highlight w:val="none"/>
              </w:rPr>
            </w:pPr>
          </w:p>
        </w:tc>
      </w:tr>
      <w:tr w14:paraId="4132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6FCF99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51" w:type="dxa"/>
            <w:vAlign w:val="center"/>
          </w:tcPr>
          <w:p w14:paraId="5FC064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83" w:type="dxa"/>
            <w:vAlign w:val="center"/>
          </w:tcPr>
          <w:p w14:paraId="1EFD4A86">
            <w:pPr>
              <w:jc w:val="center"/>
              <w:rPr>
                <w:rFonts w:hint="eastAsia" w:ascii="宋体" w:hAnsi="宋体" w:eastAsia="宋体" w:cs="宋体"/>
                <w:color w:val="auto"/>
                <w:sz w:val="21"/>
                <w:szCs w:val="21"/>
                <w:highlight w:val="none"/>
              </w:rPr>
            </w:pPr>
          </w:p>
        </w:tc>
        <w:tc>
          <w:tcPr>
            <w:tcW w:w="1353" w:type="dxa"/>
            <w:gridSpan w:val="2"/>
            <w:vAlign w:val="center"/>
          </w:tcPr>
          <w:p w14:paraId="76E48A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05" w:type="dxa"/>
            <w:gridSpan w:val="3"/>
            <w:vAlign w:val="center"/>
          </w:tcPr>
          <w:p w14:paraId="397038D6">
            <w:pPr>
              <w:jc w:val="center"/>
              <w:rPr>
                <w:rFonts w:hint="eastAsia" w:ascii="宋体" w:hAnsi="宋体" w:eastAsia="宋体" w:cs="宋体"/>
                <w:color w:val="auto"/>
                <w:sz w:val="21"/>
                <w:szCs w:val="21"/>
                <w:highlight w:val="none"/>
              </w:rPr>
            </w:pPr>
          </w:p>
        </w:tc>
        <w:tc>
          <w:tcPr>
            <w:tcW w:w="752" w:type="dxa"/>
            <w:vAlign w:val="center"/>
          </w:tcPr>
          <w:p w14:paraId="37B029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02" w:type="dxa"/>
            <w:vAlign w:val="center"/>
          </w:tcPr>
          <w:p w14:paraId="565BBFDC">
            <w:pPr>
              <w:jc w:val="center"/>
              <w:rPr>
                <w:rFonts w:hint="eastAsia" w:ascii="宋体" w:hAnsi="宋体" w:eastAsia="宋体" w:cs="宋体"/>
                <w:color w:val="auto"/>
                <w:sz w:val="21"/>
                <w:szCs w:val="21"/>
                <w:highlight w:val="none"/>
              </w:rPr>
            </w:pPr>
          </w:p>
        </w:tc>
      </w:tr>
      <w:tr w14:paraId="125D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340BAD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34" w:type="dxa"/>
            <w:gridSpan w:val="2"/>
            <w:vAlign w:val="center"/>
          </w:tcPr>
          <w:p w14:paraId="5DADBF4F">
            <w:pPr>
              <w:jc w:val="center"/>
              <w:rPr>
                <w:rFonts w:hint="eastAsia" w:ascii="宋体" w:hAnsi="宋体" w:eastAsia="宋体" w:cs="宋体"/>
                <w:color w:val="auto"/>
                <w:sz w:val="21"/>
                <w:szCs w:val="21"/>
                <w:highlight w:val="none"/>
              </w:rPr>
            </w:pPr>
          </w:p>
        </w:tc>
        <w:tc>
          <w:tcPr>
            <w:tcW w:w="5412" w:type="dxa"/>
            <w:gridSpan w:val="7"/>
            <w:vAlign w:val="center"/>
          </w:tcPr>
          <w:p w14:paraId="54FE99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36FE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5" w:type="dxa"/>
            <w:vAlign w:val="center"/>
          </w:tcPr>
          <w:p w14:paraId="20E162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51" w:type="dxa"/>
            <w:vAlign w:val="center"/>
          </w:tcPr>
          <w:p w14:paraId="6B634D9A">
            <w:pPr>
              <w:jc w:val="center"/>
              <w:rPr>
                <w:rFonts w:hint="eastAsia" w:ascii="宋体" w:hAnsi="宋体" w:eastAsia="宋体" w:cs="宋体"/>
                <w:color w:val="auto"/>
                <w:sz w:val="21"/>
                <w:szCs w:val="21"/>
                <w:highlight w:val="none"/>
              </w:rPr>
            </w:pPr>
          </w:p>
        </w:tc>
        <w:tc>
          <w:tcPr>
            <w:tcW w:w="1083" w:type="dxa"/>
            <w:vAlign w:val="center"/>
          </w:tcPr>
          <w:p w14:paraId="48FA03C2">
            <w:pPr>
              <w:jc w:val="center"/>
              <w:rPr>
                <w:rFonts w:hint="eastAsia" w:ascii="宋体" w:hAnsi="宋体" w:eastAsia="宋体" w:cs="宋体"/>
                <w:color w:val="auto"/>
                <w:sz w:val="21"/>
                <w:szCs w:val="21"/>
                <w:highlight w:val="none"/>
              </w:rPr>
            </w:pPr>
          </w:p>
        </w:tc>
        <w:tc>
          <w:tcPr>
            <w:tcW w:w="1053" w:type="dxa"/>
            <w:vMerge w:val="restart"/>
            <w:vAlign w:val="center"/>
          </w:tcPr>
          <w:p w14:paraId="11A77B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05" w:type="dxa"/>
            <w:gridSpan w:val="4"/>
            <w:vAlign w:val="center"/>
          </w:tcPr>
          <w:p w14:paraId="601CAC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254" w:type="dxa"/>
            <w:gridSpan w:val="2"/>
            <w:vAlign w:val="center"/>
          </w:tcPr>
          <w:p w14:paraId="02681E4E">
            <w:pPr>
              <w:jc w:val="center"/>
              <w:rPr>
                <w:rFonts w:hint="eastAsia" w:ascii="宋体" w:hAnsi="宋体" w:eastAsia="宋体" w:cs="宋体"/>
                <w:color w:val="auto"/>
                <w:sz w:val="21"/>
                <w:szCs w:val="21"/>
                <w:highlight w:val="none"/>
              </w:rPr>
            </w:pPr>
          </w:p>
        </w:tc>
      </w:tr>
      <w:tr w14:paraId="3D2C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1920E0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51" w:type="dxa"/>
            <w:vAlign w:val="center"/>
          </w:tcPr>
          <w:p w14:paraId="53357C85">
            <w:pPr>
              <w:jc w:val="center"/>
              <w:rPr>
                <w:rFonts w:hint="eastAsia" w:ascii="宋体" w:hAnsi="宋体" w:eastAsia="宋体" w:cs="宋体"/>
                <w:color w:val="auto"/>
                <w:sz w:val="21"/>
                <w:szCs w:val="21"/>
                <w:highlight w:val="none"/>
              </w:rPr>
            </w:pPr>
          </w:p>
        </w:tc>
        <w:tc>
          <w:tcPr>
            <w:tcW w:w="1083" w:type="dxa"/>
            <w:vAlign w:val="center"/>
          </w:tcPr>
          <w:p w14:paraId="77240CF4">
            <w:pPr>
              <w:jc w:val="center"/>
              <w:rPr>
                <w:rFonts w:hint="eastAsia" w:ascii="宋体" w:hAnsi="宋体" w:eastAsia="宋体" w:cs="宋体"/>
                <w:color w:val="auto"/>
                <w:sz w:val="21"/>
                <w:szCs w:val="21"/>
                <w:highlight w:val="none"/>
              </w:rPr>
            </w:pPr>
          </w:p>
        </w:tc>
        <w:tc>
          <w:tcPr>
            <w:tcW w:w="1053" w:type="dxa"/>
            <w:vMerge w:val="continue"/>
            <w:vAlign w:val="center"/>
          </w:tcPr>
          <w:p w14:paraId="40DAEEF9">
            <w:pPr>
              <w:jc w:val="center"/>
              <w:rPr>
                <w:rFonts w:hint="eastAsia" w:ascii="宋体" w:hAnsi="宋体" w:eastAsia="宋体" w:cs="宋体"/>
                <w:color w:val="auto"/>
                <w:sz w:val="21"/>
                <w:szCs w:val="21"/>
                <w:highlight w:val="none"/>
              </w:rPr>
            </w:pPr>
          </w:p>
        </w:tc>
        <w:tc>
          <w:tcPr>
            <w:tcW w:w="2105" w:type="dxa"/>
            <w:gridSpan w:val="4"/>
            <w:vAlign w:val="center"/>
          </w:tcPr>
          <w:p w14:paraId="1F056F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254" w:type="dxa"/>
            <w:gridSpan w:val="2"/>
            <w:vAlign w:val="center"/>
          </w:tcPr>
          <w:p w14:paraId="4EA9F40F">
            <w:pPr>
              <w:jc w:val="center"/>
              <w:rPr>
                <w:rFonts w:hint="eastAsia" w:ascii="宋体" w:hAnsi="宋体" w:eastAsia="宋体" w:cs="宋体"/>
                <w:color w:val="auto"/>
                <w:sz w:val="21"/>
                <w:szCs w:val="21"/>
                <w:highlight w:val="none"/>
              </w:rPr>
            </w:pPr>
          </w:p>
        </w:tc>
      </w:tr>
      <w:tr w14:paraId="65B9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237408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51" w:type="dxa"/>
            <w:vAlign w:val="center"/>
          </w:tcPr>
          <w:p w14:paraId="68D05A45">
            <w:pPr>
              <w:jc w:val="center"/>
              <w:rPr>
                <w:rFonts w:hint="eastAsia" w:ascii="宋体" w:hAnsi="宋体" w:eastAsia="宋体" w:cs="宋体"/>
                <w:color w:val="auto"/>
                <w:sz w:val="21"/>
                <w:szCs w:val="21"/>
                <w:highlight w:val="none"/>
              </w:rPr>
            </w:pPr>
          </w:p>
        </w:tc>
        <w:tc>
          <w:tcPr>
            <w:tcW w:w="1083" w:type="dxa"/>
            <w:vAlign w:val="center"/>
          </w:tcPr>
          <w:p w14:paraId="0A439A2E">
            <w:pPr>
              <w:jc w:val="center"/>
              <w:rPr>
                <w:rFonts w:hint="eastAsia" w:ascii="宋体" w:hAnsi="宋体" w:eastAsia="宋体" w:cs="宋体"/>
                <w:color w:val="auto"/>
                <w:sz w:val="21"/>
                <w:szCs w:val="21"/>
                <w:highlight w:val="none"/>
              </w:rPr>
            </w:pPr>
          </w:p>
        </w:tc>
        <w:tc>
          <w:tcPr>
            <w:tcW w:w="1053" w:type="dxa"/>
            <w:vMerge w:val="continue"/>
            <w:vAlign w:val="center"/>
          </w:tcPr>
          <w:p w14:paraId="7590C600">
            <w:pPr>
              <w:jc w:val="center"/>
              <w:rPr>
                <w:rFonts w:hint="eastAsia" w:ascii="宋体" w:hAnsi="宋体" w:eastAsia="宋体" w:cs="宋体"/>
                <w:color w:val="auto"/>
                <w:sz w:val="21"/>
                <w:szCs w:val="21"/>
                <w:highlight w:val="none"/>
              </w:rPr>
            </w:pPr>
          </w:p>
        </w:tc>
        <w:tc>
          <w:tcPr>
            <w:tcW w:w="2105" w:type="dxa"/>
            <w:gridSpan w:val="4"/>
            <w:vAlign w:val="center"/>
          </w:tcPr>
          <w:p w14:paraId="4D2C5A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254" w:type="dxa"/>
            <w:gridSpan w:val="2"/>
            <w:vAlign w:val="center"/>
          </w:tcPr>
          <w:p w14:paraId="5F1A4122">
            <w:pPr>
              <w:jc w:val="center"/>
              <w:rPr>
                <w:rFonts w:hint="eastAsia" w:ascii="宋体" w:hAnsi="宋体" w:eastAsia="宋体" w:cs="宋体"/>
                <w:color w:val="auto"/>
                <w:sz w:val="21"/>
                <w:szCs w:val="21"/>
                <w:highlight w:val="none"/>
              </w:rPr>
            </w:pPr>
          </w:p>
        </w:tc>
      </w:tr>
      <w:tr w14:paraId="1854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3A43BD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51" w:type="dxa"/>
            <w:vAlign w:val="center"/>
          </w:tcPr>
          <w:p w14:paraId="46BDD59A">
            <w:pPr>
              <w:jc w:val="center"/>
              <w:rPr>
                <w:rFonts w:hint="eastAsia" w:ascii="宋体" w:hAnsi="宋体" w:eastAsia="宋体" w:cs="宋体"/>
                <w:color w:val="auto"/>
                <w:sz w:val="21"/>
                <w:szCs w:val="21"/>
                <w:highlight w:val="none"/>
              </w:rPr>
            </w:pPr>
          </w:p>
        </w:tc>
        <w:tc>
          <w:tcPr>
            <w:tcW w:w="1083" w:type="dxa"/>
            <w:vAlign w:val="center"/>
          </w:tcPr>
          <w:p w14:paraId="76697AB2">
            <w:pPr>
              <w:jc w:val="center"/>
              <w:rPr>
                <w:rFonts w:hint="eastAsia" w:ascii="宋体" w:hAnsi="宋体" w:eastAsia="宋体" w:cs="宋体"/>
                <w:color w:val="auto"/>
                <w:sz w:val="21"/>
                <w:szCs w:val="21"/>
                <w:highlight w:val="none"/>
              </w:rPr>
            </w:pPr>
          </w:p>
        </w:tc>
        <w:tc>
          <w:tcPr>
            <w:tcW w:w="1053" w:type="dxa"/>
            <w:vMerge w:val="continue"/>
            <w:vAlign w:val="center"/>
          </w:tcPr>
          <w:p w14:paraId="4D53C458">
            <w:pPr>
              <w:jc w:val="center"/>
              <w:rPr>
                <w:rFonts w:hint="eastAsia" w:ascii="宋体" w:hAnsi="宋体" w:eastAsia="宋体" w:cs="宋体"/>
                <w:color w:val="auto"/>
                <w:sz w:val="21"/>
                <w:szCs w:val="21"/>
                <w:highlight w:val="none"/>
              </w:rPr>
            </w:pPr>
          </w:p>
        </w:tc>
        <w:tc>
          <w:tcPr>
            <w:tcW w:w="2105" w:type="dxa"/>
            <w:gridSpan w:val="4"/>
            <w:vAlign w:val="center"/>
          </w:tcPr>
          <w:p w14:paraId="698B4F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254" w:type="dxa"/>
            <w:gridSpan w:val="2"/>
            <w:vAlign w:val="center"/>
          </w:tcPr>
          <w:p w14:paraId="7FF67A34">
            <w:pPr>
              <w:jc w:val="center"/>
              <w:rPr>
                <w:rFonts w:hint="eastAsia" w:ascii="宋体" w:hAnsi="宋体" w:eastAsia="宋体" w:cs="宋体"/>
                <w:color w:val="auto"/>
                <w:sz w:val="21"/>
                <w:szCs w:val="21"/>
                <w:highlight w:val="none"/>
              </w:rPr>
            </w:pPr>
          </w:p>
        </w:tc>
      </w:tr>
      <w:tr w14:paraId="08A7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75" w:type="dxa"/>
            <w:vAlign w:val="center"/>
          </w:tcPr>
          <w:p w14:paraId="365570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51" w:type="dxa"/>
            <w:vAlign w:val="center"/>
          </w:tcPr>
          <w:p w14:paraId="21D75C3C">
            <w:pPr>
              <w:jc w:val="center"/>
              <w:rPr>
                <w:rFonts w:hint="eastAsia" w:ascii="宋体" w:hAnsi="宋体" w:eastAsia="宋体" w:cs="宋体"/>
                <w:color w:val="auto"/>
                <w:sz w:val="21"/>
                <w:szCs w:val="21"/>
                <w:highlight w:val="none"/>
              </w:rPr>
            </w:pPr>
          </w:p>
        </w:tc>
        <w:tc>
          <w:tcPr>
            <w:tcW w:w="1083" w:type="dxa"/>
            <w:vAlign w:val="center"/>
          </w:tcPr>
          <w:p w14:paraId="466F4852">
            <w:pPr>
              <w:jc w:val="center"/>
              <w:rPr>
                <w:rFonts w:hint="eastAsia" w:ascii="宋体" w:hAnsi="宋体" w:eastAsia="宋体" w:cs="宋体"/>
                <w:color w:val="auto"/>
                <w:sz w:val="21"/>
                <w:szCs w:val="21"/>
                <w:highlight w:val="none"/>
              </w:rPr>
            </w:pPr>
          </w:p>
        </w:tc>
        <w:tc>
          <w:tcPr>
            <w:tcW w:w="1053" w:type="dxa"/>
            <w:vMerge w:val="continue"/>
            <w:vAlign w:val="center"/>
          </w:tcPr>
          <w:p w14:paraId="5784925E">
            <w:pPr>
              <w:jc w:val="center"/>
              <w:rPr>
                <w:rFonts w:hint="eastAsia" w:ascii="宋体" w:hAnsi="宋体" w:eastAsia="宋体" w:cs="宋体"/>
                <w:color w:val="auto"/>
                <w:sz w:val="21"/>
                <w:szCs w:val="21"/>
                <w:highlight w:val="none"/>
              </w:rPr>
            </w:pPr>
          </w:p>
        </w:tc>
        <w:tc>
          <w:tcPr>
            <w:tcW w:w="2105" w:type="dxa"/>
            <w:gridSpan w:val="4"/>
            <w:vAlign w:val="center"/>
          </w:tcPr>
          <w:p w14:paraId="356854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254" w:type="dxa"/>
            <w:gridSpan w:val="2"/>
            <w:vAlign w:val="center"/>
          </w:tcPr>
          <w:p w14:paraId="705BA06F">
            <w:pPr>
              <w:jc w:val="center"/>
              <w:rPr>
                <w:rFonts w:hint="eastAsia" w:ascii="宋体" w:hAnsi="宋体" w:eastAsia="宋体" w:cs="宋体"/>
                <w:color w:val="auto"/>
                <w:sz w:val="21"/>
                <w:szCs w:val="21"/>
                <w:highlight w:val="none"/>
              </w:rPr>
            </w:pPr>
          </w:p>
        </w:tc>
      </w:tr>
      <w:tr w14:paraId="32B3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575" w:type="dxa"/>
            <w:vAlign w:val="center"/>
          </w:tcPr>
          <w:p w14:paraId="2A51E8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446" w:type="dxa"/>
            <w:gridSpan w:val="9"/>
            <w:vAlign w:val="center"/>
          </w:tcPr>
          <w:p w14:paraId="2AC9DA6C">
            <w:pPr>
              <w:jc w:val="center"/>
              <w:rPr>
                <w:rFonts w:hint="eastAsia" w:ascii="宋体" w:hAnsi="宋体" w:eastAsia="宋体" w:cs="宋体"/>
                <w:color w:val="auto"/>
                <w:sz w:val="21"/>
                <w:szCs w:val="21"/>
                <w:highlight w:val="none"/>
              </w:rPr>
            </w:pPr>
          </w:p>
        </w:tc>
      </w:tr>
      <w:tr w14:paraId="4790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5" w:type="dxa"/>
            <w:vAlign w:val="center"/>
          </w:tcPr>
          <w:p w14:paraId="77E5B0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446" w:type="dxa"/>
            <w:gridSpan w:val="9"/>
            <w:vAlign w:val="center"/>
          </w:tcPr>
          <w:p w14:paraId="74BD5EF6">
            <w:pPr>
              <w:jc w:val="center"/>
              <w:rPr>
                <w:rFonts w:hint="eastAsia" w:ascii="宋体" w:hAnsi="宋体" w:eastAsia="宋体" w:cs="宋体"/>
                <w:color w:val="auto"/>
                <w:sz w:val="21"/>
                <w:szCs w:val="21"/>
                <w:highlight w:val="none"/>
              </w:rPr>
            </w:pPr>
          </w:p>
        </w:tc>
      </w:tr>
    </w:tbl>
    <w:p w14:paraId="400C2F0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备注：本表后应附企业法人三证合一的营业执照等材料的扫描件。</w:t>
      </w:r>
    </w:p>
    <w:p w14:paraId="660AA042">
      <w:pPr>
        <w:pStyle w:val="10"/>
        <w:keepNext w:val="0"/>
        <w:keepLines w:val="0"/>
        <w:pageBreakBefore w:val="0"/>
        <w:widowControl w:val="0"/>
        <w:kinsoku/>
        <w:wordWrap/>
        <w:overflowPunct/>
        <w:topLinePunct w:val="0"/>
        <w:autoSpaceDE/>
        <w:autoSpaceDN/>
        <w:bidi w:val="0"/>
        <w:adjustRightInd/>
        <w:snapToGrid/>
        <w:spacing w:before="0" w:after="0" w:afterLines="0" w:line="360" w:lineRule="auto"/>
        <w:ind w:left="0" w:firstLine="19"/>
        <w:textAlignment w:val="auto"/>
        <w:rPr>
          <w:rFonts w:hint="eastAsia" w:ascii="宋体" w:hAnsi="宋体" w:eastAsia="宋体" w:cs="宋体"/>
          <w:color w:val="auto"/>
          <w:highlight w:val="none"/>
          <w:lang w:eastAsia="zh-CN"/>
        </w:rPr>
      </w:pPr>
      <w:r>
        <w:rPr>
          <w:rFonts w:ascii="宋体" w:hAnsi="宋体"/>
          <w:color w:val="auto"/>
          <w:highlight w:val="none"/>
        </w:rPr>
        <w:br w:type="page"/>
      </w:r>
    </w:p>
    <w:p w14:paraId="4135A4FD">
      <w:pPr>
        <w:rPr>
          <w:rFonts w:ascii="宋体" w:hAnsi="宋体"/>
          <w:color w:val="auto"/>
          <w:sz w:val="24"/>
          <w:highlight w:val="none"/>
        </w:rPr>
      </w:pPr>
    </w:p>
    <w:p w14:paraId="411A7443">
      <w:pPr>
        <w:spacing w:line="360" w:lineRule="auto"/>
        <w:jc w:val="center"/>
        <w:outlineLvl w:val="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（二）</w:t>
      </w:r>
      <w:r>
        <w:rPr>
          <w:rFonts w:hint="eastAsia" w:ascii="宋体" w:hAnsi="宋体" w:eastAsia="宋体" w:cs="Times New Roman"/>
          <w:color w:val="auto"/>
          <w:kern w:val="2"/>
          <w:sz w:val="24"/>
          <w:szCs w:val="24"/>
          <w:highlight w:val="none"/>
          <w:lang w:val="en-US" w:eastAsia="zh-CN" w:bidi="ar-SA"/>
        </w:rPr>
        <w:t>供应商信用承诺函</w:t>
      </w:r>
    </w:p>
    <w:p w14:paraId="46C73B29">
      <w:pPr>
        <w:rPr>
          <w:rFonts w:hint="eastAsia" w:ascii="宋体" w:hAnsi="宋体" w:eastAsia="宋体" w:cs="宋体"/>
          <w:b/>
          <w:sz w:val="24"/>
          <w:szCs w:val="24"/>
        </w:rPr>
      </w:pPr>
    </w:p>
    <w:p w14:paraId="062B02D6">
      <w:pPr>
        <w:rPr>
          <w:rFonts w:hint="eastAsia" w:ascii="宋体" w:hAnsi="宋体" w:eastAsia="宋体" w:cs="宋体"/>
          <w:b/>
          <w:sz w:val="24"/>
          <w:szCs w:val="24"/>
          <w:lang w:eastAsia="zh-CN"/>
        </w:rPr>
      </w:pPr>
      <w:r>
        <w:rPr>
          <w:rFonts w:hint="eastAsia" w:ascii="宋体" w:hAnsi="宋体" w:eastAsia="宋体" w:cs="宋体"/>
          <w:b/>
          <w:sz w:val="24"/>
          <w:szCs w:val="24"/>
        </w:rPr>
        <w:t>资格承诺声明函</w:t>
      </w:r>
      <w:r>
        <w:rPr>
          <w:rFonts w:hint="eastAsia" w:ascii="宋体" w:hAnsi="宋体" w:eastAsia="宋体" w:cs="宋体"/>
          <w:b/>
          <w:sz w:val="24"/>
          <w:szCs w:val="24"/>
          <w:lang w:eastAsia="zh-CN"/>
        </w:rPr>
        <w:t>：</w:t>
      </w:r>
    </w:p>
    <w:p w14:paraId="7D76D9BC">
      <w:pPr>
        <w:spacing w:before="255" w:line="227" w:lineRule="auto"/>
        <w:ind w:left="8"/>
        <w:rPr>
          <w:rFonts w:hint="eastAsia" w:ascii="宋体" w:hAnsi="宋体" w:eastAsia="宋体" w:cs="宋体"/>
          <w:sz w:val="24"/>
          <w:szCs w:val="24"/>
        </w:rPr>
      </w:pPr>
      <w:r>
        <w:rPr>
          <w:rFonts w:hint="eastAsia" w:ascii="宋体" w:hAnsi="宋体" w:eastAsia="宋体" w:cs="宋体"/>
          <w:spacing w:val="6"/>
          <w:sz w:val="24"/>
          <w:szCs w:val="24"/>
        </w:rPr>
        <w:t>致</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u w:val="single"/>
        </w:rPr>
        <w:t xml:space="preserve">(本项目采购单位) </w:t>
      </w:r>
      <w:r>
        <w:rPr>
          <w:rFonts w:hint="eastAsia" w:ascii="宋体" w:hAnsi="宋体" w:eastAsia="宋体" w:cs="宋体"/>
          <w:spacing w:val="4"/>
          <w:sz w:val="24"/>
          <w:szCs w:val="24"/>
        </w:rPr>
        <w:t xml:space="preserve">及 </w:t>
      </w:r>
      <w:r>
        <w:rPr>
          <w:rFonts w:hint="eastAsia" w:ascii="宋体" w:hAnsi="宋体" w:eastAsia="宋体" w:cs="宋体"/>
          <w:spacing w:val="4"/>
          <w:sz w:val="24"/>
          <w:szCs w:val="24"/>
          <w:u w:val="single"/>
          <w:lang w:val="en-US" w:eastAsia="zh-CN"/>
        </w:rPr>
        <w:t>登封市</w:t>
      </w:r>
      <w:r>
        <w:rPr>
          <w:rFonts w:hint="eastAsia" w:ascii="宋体" w:hAnsi="宋体" w:eastAsia="宋体" w:cs="宋体"/>
          <w:spacing w:val="4"/>
          <w:sz w:val="24"/>
          <w:szCs w:val="24"/>
          <w:u w:val="single"/>
        </w:rPr>
        <w:t>公共资源交易中心</w:t>
      </w:r>
      <w:r>
        <w:rPr>
          <w:rFonts w:hint="eastAsia" w:ascii="宋体" w:hAnsi="宋体" w:eastAsia="宋体" w:cs="宋体"/>
          <w:spacing w:val="4"/>
          <w:sz w:val="24"/>
          <w:szCs w:val="24"/>
        </w:rPr>
        <w:t>：</w:t>
      </w:r>
    </w:p>
    <w:p w14:paraId="117008E2">
      <w:pPr>
        <w:spacing w:before="196" w:line="405" w:lineRule="auto"/>
        <w:ind w:left="9" w:right="2" w:firstLine="435"/>
        <w:rPr>
          <w:rFonts w:hint="eastAsia" w:ascii="宋体" w:hAnsi="宋体" w:eastAsia="宋体" w:cs="宋体"/>
          <w:sz w:val="24"/>
          <w:szCs w:val="24"/>
        </w:rPr>
      </w:pPr>
      <w:r>
        <w:rPr>
          <w:rFonts w:hint="eastAsia" w:ascii="宋体" w:hAnsi="宋体" w:eastAsia="宋体" w:cs="宋体"/>
          <w:spacing w:val="20"/>
          <w:sz w:val="24"/>
          <w:szCs w:val="24"/>
        </w:rPr>
        <w:t>我</w:t>
      </w:r>
      <w:r>
        <w:rPr>
          <w:rFonts w:hint="eastAsia" w:ascii="宋体" w:hAnsi="宋体" w:eastAsia="宋体" w:cs="宋体"/>
          <w:spacing w:val="12"/>
          <w:sz w:val="24"/>
          <w:szCs w:val="24"/>
        </w:rPr>
        <w:t>单</w:t>
      </w:r>
      <w:r>
        <w:rPr>
          <w:rFonts w:hint="eastAsia" w:ascii="宋体" w:hAnsi="宋体" w:eastAsia="宋体" w:cs="宋体"/>
          <w:spacing w:val="10"/>
          <w:sz w:val="24"/>
          <w:szCs w:val="24"/>
        </w:rPr>
        <w:t>位自愿参加本次采购活动，严格遵守相关法律法规，依法诚信经营，依法遵守本次采购活</w:t>
      </w:r>
      <w:r>
        <w:rPr>
          <w:rFonts w:hint="eastAsia" w:ascii="宋体" w:hAnsi="宋体" w:eastAsia="宋体" w:cs="宋体"/>
          <w:spacing w:val="9"/>
          <w:sz w:val="24"/>
          <w:szCs w:val="24"/>
        </w:rPr>
        <w:t>动的各项规定。我单位郑重承诺声明如下</w:t>
      </w:r>
      <w:r>
        <w:rPr>
          <w:rFonts w:hint="eastAsia" w:ascii="宋体" w:hAnsi="宋体" w:eastAsia="宋体" w:cs="宋体"/>
          <w:spacing w:val="6"/>
          <w:sz w:val="24"/>
          <w:szCs w:val="24"/>
        </w:rPr>
        <w:t>：</w:t>
      </w:r>
    </w:p>
    <w:p w14:paraId="4C1E49A5">
      <w:pPr>
        <w:spacing w:before="1" w:line="406" w:lineRule="auto"/>
        <w:ind w:left="8" w:firstLine="437"/>
        <w:rPr>
          <w:rFonts w:hint="eastAsia" w:ascii="宋体" w:hAnsi="宋体" w:eastAsia="宋体" w:cs="宋体"/>
          <w:sz w:val="24"/>
          <w:szCs w:val="24"/>
        </w:rPr>
      </w:pPr>
      <w:r>
        <w:rPr>
          <w:rFonts w:hint="eastAsia" w:ascii="宋体" w:hAnsi="宋体" w:eastAsia="宋体" w:cs="宋体"/>
          <w:spacing w:val="2"/>
          <w:sz w:val="24"/>
          <w:szCs w:val="24"/>
        </w:rPr>
        <w:t>一、我单位全称为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，注册地点为</w:t>
      </w:r>
      <w:r>
        <w:rPr>
          <w:rFonts w:hint="eastAsia" w:ascii="宋体" w:hAnsi="宋体" w:eastAsia="宋体" w:cs="宋体"/>
          <w:spacing w:val="2"/>
          <w:sz w:val="24"/>
          <w:szCs w:val="24"/>
          <w:u w:val="single" w:color="auto"/>
        </w:rPr>
        <w:t xml:space="preserve">                 </w:t>
      </w:r>
      <w:r>
        <w:rPr>
          <w:rFonts w:hint="eastAsia" w:ascii="宋体" w:hAnsi="宋体" w:eastAsia="宋体" w:cs="宋体"/>
          <w:sz w:val="24"/>
          <w:szCs w:val="24"/>
        </w:rPr>
        <w:t xml:space="preserve">，统一社会 </w:t>
      </w:r>
      <w:r>
        <w:rPr>
          <w:rFonts w:hint="eastAsia" w:ascii="宋体" w:hAnsi="宋体" w:eastAsia="宋体" w:cs="宋体"/>
          <w:spacing w:val="20"/>
          <w:sz w:val="24"/>
          <w:szCs w:val="24"/>
        </w:rPr>
        <w:t>信用代码</w:t>
      </w:r>
      <w:r>
        <w:rPr>
          <w:rFonts w:hint="eastAsia" w:ascii="宋体" w:hAnsi="宋体" w:eastAsia="宋体" w:cs="宋体"/>
          <w:spacing w:val="11"/>
          <w:sz w:val="24"/>
          <w:szCs w:val="24"/>
        </w:rPr>
        <w:t>为</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，法定代表人(单位负责人) 为</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，联系方式</w:t>
      </w:r>
      <w:r>
        <w:rPr>
          <w:rFonts w:hint="eastAsia" w:ascii="宋体" w:hAnsi="宋体" w:eastAsia="宋体" w:cs="宋体"/>
          <w:spacing w:val="8"/>
          <w:sz w:val="24"/>
          <w:szCs w:val="24"/>
        </w:rPr>
        <w:t>为</w:t>
      </w:r>
      <w:r>
        <w:rPr>
          <w:rFonts w:hint="eastAsia" w:ascii="宋体" w:hAnsi="宋体" w:eastAsia="宋体" w:cs="宋体"/>
          <w:spacing w:val="8"/>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14:paraId="1326C99D">
      <w:pPr>
        <w:spacing w:line="274" w:lineRule="exact"/>
        <w:ind w:left="446"/>
        <w:rPr>
          <w:rFonts w:hint="eastAsia" w:ascii="宋体" w:hAnsi="宋体" w:eastAsia="宋体" w:cs="宋体"/>
          <w:sz w:val="24"/>
          <w:szCs w:val="24"/>
        </w:rPr>
      </w:pPr>
      <w:r>
        <w:rPr>
          <w:rFonts w:hint="eastAsia" w:ascii="宋体" w:hAnsi="宋体" w:eastAsia="宋体" w:cs="宋体"/>
          <w:spacing w:val="16"/>
          <w:position w:val="1"/>
          <w:sz w:val="24"/>
          <w:szCs w:val="24"/>
        </w:rPr>
        <w:t>二</w:t>
      </w:r>
      <w:r>
        <w:rPr>
          <w:rFonts w:hint="eastAsia" w:ascii="宋体" w:hAnsi="宋体" w:eastAsia="宋体" w:cs="宋体"/>
          <w:spacing w:val="14"/>
          <w:position w:val="1"/>
          <w:sz w:val="24"/>
          <w:szCs w:val="24"/>
        </w:rPr>
        <w:t>、</w:t>
      </w:r>
      <w:r>
        <w:rPr>
          <w:rFonts w:hint="eastAsia" w:ascii="宋体" w:hAnsi="宋体" w:eastAsia="宋体" w:cs="宋体"/>
          <w:spacing w:val="8"/>
          <w:position w:val="1"/>
          <w:sz w:val="24"/>
          <w:szCs w:val="24"/>
        </w:rPr>
        <w:t>我单位具有独立承担民事责任的能力。</w:t>
      </w:r>
    </w:p>
    <w:p w14:paraId="0279EFAE">
      <w:pPr>
        <w:spacing w:before="168" w:line="266" w:lineRule="exact"/>
        <w:ind w:left="442"/>
        <w:rPr>
          <w:rFonts w:hint="eastAsia" w:ascii="宋体" w:hAnsi="宋体" w:eastAsia="宋体" w:cs="宋体"/>
          <w:sz w:val="24"/>
          <w:szCs w:val="24"/>
        </w:rPr>
      </w:pPr>
      <w:r>
        <w:rPr>
          <w:rFonts w:hint="eastAsia" w:ascii="宋体" w:hAnsi="宋体" w:eastAsia="宋体" w:cs="宋体"/>
          <w:spacing w:val="13"/>
          <w:position w:val="1"/>
          <w:sz w:val="24"/>
          <w:szCs w:val="24"/>
        </w:rPr>
        <w:t>三</w:t>
      </w:r>
      <w:r>
        <w:rPr>
          <w:rFonts w:hint="eastAsia" w:ascii="宋体" w:hAnsi="宋体" w:eastAsia="宋体" w:cs="宋体"/>
          <w:spacing w:val="9"/>
          <w:position w:val="1"/>
          <w:sz w:val="24"/>
          <w:szCs w:val="24"/>
        </w:rPr>
        <w:t>、我单位具有良好的商业信誉和健全的财务会计制度。</w:t>
      </w:r>
    </w:p>
    <w:p w14:paraId="4E18331B">
      <w:pPr>
        <w:spacing w:before="173" w:line="231" w:lineRule="auto"/>
        <w:ind w:left="462"/>
        <w:rPr>
          <w:rFonts w:hint="eastAsia" w:ascii="宋体" w:hAnsi="宋体" w:eastAsia="宋体" w:cs="宋体"/>
          <w:sz w:val="24"/>
          <w:szCs w:val="24"/>
        </w:rPr>
      </w:pPr>
      <w:r>
        <w:rPr>
          <w:rFonts w:hint="eastAsia" w:ascii="宋体" w:hAnsi="宋体" w:eastAsia="宋体" w:cs="宋体"/>
          <w:spacing w:val="16"/>
          <w:sz w:val="24"/>
          <w:szCs w:val="24"/>
        </w:rPr>
        <w:t>四</w:t>
      </w:r>
      <w:r>
        <w:rPr>
          <w:rFonts w:hint="eastAsia" w:ascii="宋体" w:hAnsi="宋体" w:eastAsia="宋体" w:cs="宋体"/>
          <w:spacing w:val="9"/>
          <w:sz w:val="24"/>
          <w:szCs w:val="24"/>
        </w:rPr>
        <w:t>、</w:t>
      </w:r>
      <w:r>
        <w:rPr>
          <w:rFonts w:hint="eastAsia" w:ascii="宋体" w:hAnsi="宋体" w:eastAsia="宋体" w:cs="宋体"/>
          <w:spacing w:val="8"/>
          <w:sz w:val="24"/>
          <w:szCs w:val="24"/>
        </w:rPr>
        <w:t>我单位具有履行合同所必需的设备和专业技术能力。</w:t>
      </w:r>
    </w:p>
    <w:p w14:paraId="2B4F1AFF">
      <w:pPr>
        <w:spacing w:before="188" w:line="239" w:lineRule="auto"/>
        <w:ind w:left="446"/>
        <w:rPr>
          <w:rFonts w:hint="eastAsia" w:ascii="宋体" w:hAnsi="宋体" w:eastAsia="宋体" w:cs="宋体"/>
          <w:sz w:val="24"/>
          <w:szCs w:val="24"/>
        </w:rPr>
      </w:pPr>
      <w:r>
        <w:rPr>
          <w:rFonts w:hint="eastAsia" w:ascii="宋体" w:hAnsi="宋体" w:eastAsia="宋体" w:cs="宋体"/>
          <w:spacing w:val="10"/>
          <w:sz w:val="24"/>
          <w:szCs w:val="24"/>
        </w:rPr>
        <w:t>五</w:t>
      </w:r>
      <w:r>
        <w:rPr>
          <w:rFonts w:hint="eastAsia" w:ascii="宋体" w:hAnsi="宋体" w:eastAsia="宋体" w:cs="宋体"/>
          <w:spacing w:val="9"/>
          <w:sz w:val="24"/>
          <w:szCs w:val="24"/>
        </w:rPr>
        <w:t>、我单位有依法缴纳税收和社会保障资金的良好记录。</w:t>
      </w:r>
    </w:p>
    <w:p w14:paraId="5A35184D">
      <w:pPr>
        <w:spacing w:before="184" w:line="406" w:lineRule="auto"/>
        <w:ind w:left="8" w:firstLine="436"/>
        <w:rPr>
          <w:rFonts w:hint="eastAsia" w:ascii="宋体" w:hAnsi="宋体" w:eastAsia="宋体" w:cs="宋体"/>
          <w:sz w:val="24"/>
          <w:szCs w:val="24"/>
        </w:rPr>
      </w:pPr>
      <w:r>
        <w:rPr>
          <w:rFonts w:hint="eastAsia" w:ascii="宋体" w:hAnsi="宋体" w:eastAsia="宋体" w:cs="宋体"/>
          <w:spacing w:val="14"/>
          <w:sz w:val="24"/>
          <w:szCs w:val="24"/>
        </w:rPr>
        <w:t>六、我</w:t>
      </w:r>
      <w:r>
        <w:rPr>
          <w:rFonts w:hint="eastAsia" w:ascii="宋体" w:hAnsi="宋体" w:eastAsia="宋体" w:cs="宋体"/>
          <w:spacing w:val="7"/>
          <w:sz w:val="24"/>
          <w:szCs w:val="24"/>
        </w:rPr>
        <w:t>单位参加采购活动前三年内，在经营活动中没有重大违法记录。(重大违法记录，是指</w:t>
      </w:r>
      <w:r>
        <w:rPr>
          <w:rFonts w:hint="eastAsia" w:ascii="宋体" w:hAnsi="宋体" w:eastAsia="宋体" w:cs="宋体"/>
          <w:spacing w:val="9"/>
          <w:sz w:val="24"/>
          <w:szCs w:val="24"/>
        </w:rPr>
        <w:t>应</w:t>
      </w:r>
      <w:r>
        <w:rPr>
          <w:rFonts w:hint="eastAsia" w:ascii="宋体" w:hAnsi="宋体" w:eastAsia="宋体" w:cs="宋体"/>
          <w:spacing w:val="8"/>
          <w:sz w:val="24"/>
          <w:szCs w:val="24"/>
        </w:rPr>
        <w:t>商因违法经营受到刑事处罚或者责令停产停业、吊销许可证或者执照、较大数额罚款等行政处</w:t>
      </w:r>
      <w:r>
        <w:rPr>
          <w:rFonts w:hint="eastAsia" w:ascii="宋体" w:hAnsi="宋体" w:eastAsia="宋体" w:cs="宋体"/>
          <w:spacing w:val="14"/>
          <w:sz w:val="24"/>
          <w:szCs w:val="24"/>
        </w:rPr>
        <w:t>罚。)</w:t>
      </w:r>
    </w:p>
    <w:p w14:paraId="439B2234">
      <w:pPr>
        <w:spacing w:before="1" w:line="239" w:lineRule="auto"/>
        <w:ind w:left="427"/>
        <w:rPr>
          <w:rFonts w:hint="eastAsia" w:ascii="宋体" w:hAnsi="宋体" w:eastAsia="宋体" w:cs="宋体"/>
          <w:sz w:val="24"/>
          <w:szCs w:val="24"/>
        </w:rPr>
      </w:pPr>
      <w:r>
        <w:rPr>
          <w:rFonts w:hint="eastAsia" w:ascii="宋体" w:hAnsi="宋体" w:eastAsia="宋体" w:cs="宋体"/>
          <w:spacing w:val="12"/>
          <w:sz w:val="24"/>
          <w:szCs w:val="24"/>
        </w:rPr>
        <w:t>七</w:t>
      </w:r>
      <w:r>
        <w:rPr>
          <w:rFonts w:hint="eastAsia" w:ascii="宋体" w:hAnsi="宋体" w:eastAsia="宋体" w:cs="宋体"/>
          <w:spacing w:val="9"/>
          <w:sz w:val="24"/>
          <w:szCs w:val="24"/>
        </w:rPr>
        <w:t>、我单位具备法律、行政法规规定的其他条件。</w:t>
      </w:r>
    </w:p>
    <w:p w14:paraId="5268445C">
      <w:pPr>
        <w:spacing w:before="179" w:line="411" w:lineRule="auto"/>
        <w:ind w:left="13" w:right="2" w:firstLine="416"/>
        <w:rPr>
          <w:rFonts w:hint="eastAsia" w:ascii="宋体" w:hAnsi="宋体" w:eastAsia="宋体" w:cs="宋体"/>
          <w:sz w:val="24"/>
          <w:szCs w:val="24"/>
        </w:rPr>
      </w:pPr>
      <w:r>
        <w:rPr>
          <w:rFonts w:hint="eastAsia" w:ascii="宋体" w:hAnsi="宋体" w:eastAsia="宋体" w:cs="宋体"/>
          <w:spacing w:val="20"/>
          <w:sz w:val="24"/>
          <w:szCs w:val="24"/>
        </w:rPr>
        <w:t>我单</w:t>
      </w:r>
      <w:r>
        <w:rPr>
          <w:rFonts w:hint="eastAsia" w:ascii="宋体" w:hAnsi="宋体" w:eastAsia="宋体" w:cs="宋体"/>
          <w:spacing w:val="17"/>
          <w:sz w:val="24"/>
          <w:szCs w:val="24"/>
        </w:rPr>
        <w:t>位</w:t>
      </w:r>
      <w:r>
        <w:rPr>
          <w:rFonts w:hint="eastAsia" w:ascii="宋体" w:hAnsi="宋体" w:eastAsia="宋体" w:cs="宋体"/>
          <w:spacing w:val="10"/>
          <w:sz w:val="24"/>
          <w:szCs w:val="24"/>
        </w:rPr>
        <w:t>保证上述声明的事项都是真实的，如有弄虚作假，我单位愿意按照“提供虚假材料谋取</w:t>
      </w:r>
      <w:r>
        <w:rPr>
          <w:rFonts w:hint="eastAsia" w:ascii="宋体" w:hAnsi="宋体" w:eastAsia="宋体" w:cs="宋体"/>
          <w:sz w:val="24"/>
          <w:szCs w:val="24"/>
        </w:rPr>
        <w:t xml:space="preserve"> </w:t>
      </w:r>
      <w:r>
        <w:rPr>
          <w:rFonts w:hint="eastAsia" w:ascii="宋体" w:hAnsi="宋体" w:eastAsia="宋体" w:cs="宋体"/>
          <w:spacing w:val="20"/>
          <w:sz w:val="24"/>
          <w:szCs w:val="24"/>
        </w:rPr>
        <w:t>中标</w:t>
      </w:r>
      <w:r>
        <w:rPr>
          <w:rFonts w:hint="eastAsia" w:ascii="宋体" w:hAnsi="宋体" w:eastAsia="宋体" w:cs="宋体"/>
          <w:spacing w:val="14"/>
          <w:sz w:val="24"/>
          <w:szCs w:val="24"/>
        </w:rPr>
        <w:t>、</w:t>
      </w:r>
      <w:r>
        <w:rPr>
          <w:rFonts w:hint="eastAsia" w:ascii="宋体" w:hAnsi="宋体" w:eastAsia="宋体" w:cs="宋体"/>
          <w:spacing w:val="10"/>
          <w:sz w:val="24"/>
          <w:szCs w:val="24"/>
        </w:rPr>
        <w:t>成交”承担相应的法律责任，同意将违背承诺行为作为失信行为记录到社会信用信息平台，</w:t>
      </w:r>
      <w:r>
        <w:rPr>
          <w:rFonts w:hint="eastAsia" w:ascii="宋体" w:hAnsi="宋体" w:eastAsia="宋体" w:cs="宋体"/>
          <w:sz w:val="24"/>
          <w:szCs w:val="24"/>
        </w:rPr>
        <w:t xml:space="preserve"> </w:t>
      </w:r>
      <w:r>
        <w:rPr>
          <w:rFonts w:hint="eastAsia" w:ascii="宋体" w:hAnsi="宋体" w:eastAsia="宋体" w:cs="宋体"/>
          <w:spacing w:val="11"/>
          <w:sz w:val="24"/>
          <w:szCs w:val="24"/>
        </w:rPr>
        <w:t>并</w:t>
      </w:r>
      <w:r>
        <w:rPr>
          <w:rFonts w:hint="eastAsia" w:ascii="宋体" w:hAnsi="宋体" w:eastAsia="宋体" w:cs="宋体"/>
          <w:spacing w:val="8"/>
          <w:sz w:val="24"/>
          <w:szCs w:val="24"/>
        </w:rPr>
        <w:t>承担因此所造成的一切损失。</w:t>
      </w:r>
    </w:p>
    <w:p w14:paraId="2084D1DE">
      <w:pPr>
        <w:spacing w:line="355" w:lineRule="auto"/>
        <w:rPr>
          <w:rFonts w:hint="eastAsia" w:ascii="宋体" w:hAnsi="宋体" w:eastAsia="宋体" w:cs="宋体"/>
          <w:sz w:val="24"/>
          <w:szCs w:val="24"/>
        </w:rPr>
      </w:pPr>
    </w:p>
    <w:p w14:paraId="5F1E3172">
      <w:pPr>
        <w:spacing w:before="66" w:line="228" w:lineRule="auto"/>
        <w:rPr>
          <w:rFonts w:hint="eastAsia" w:ascii="宋体" w:hAnsi="宋体" w:eastAsia="宋体" w:cs="宋体"/>
          <w:sz w:val="24"/>
          <w:szCs w:val="24"/>
        </w:rPr>
      </w:pPr>
      <w:r>
        <w:rPr>
          <w:rFonts w:hint="eastAsia" w:ascii="宋体" w:hAnsi="宋体" w:eastAsia="宋体" w:cs="宋体"/>
          <w:spacing w:val="12"/>
          <w:sz w:val="24"/>
          <w:szCs w:val="24"/>
        </w:rPr>
        <w:t>承</w:t>
      </w:r>
      <w:r>
        <w:rPr>
          <w:rFonts w:hint="eastAsia" w:ascii="宋体" w:hAnsi="宋体" w:eastAsia="宋体" w:cs="宋体"/>
          <w:spacing w:val="6"/>
          <w:sz w:val="24"/>
          <w:szCs w:val="24"/>
        </w:rPr>
        <w:t>诺单位 (盖章) ：</w:t>
      </w:r>
    </w:p>
    <w:p w14:paraId="79426D90">
      <w:pPr>
        <w:spacing w:before="196" w:line="405" w:lineRule="auto"/>
        <w:ind w:right="724"/>
        <w:rPr>
          <w:rFonts w:hint="eastAsia" w:ascii="宋体" w:hAnsi="宋体" w:eastAsia="宋体" w:cs="宋体"/>
          <w:sz w:val="24"/>
          <w:szCs w:val="24"/>
        </w:rPr>
      </w:pPr>
      <w:r>
        <w:rPr>
          <w:rFonts w:hint="eastAsia" w:ascii="宋体" w:hAnsi="宋体" w:eastAsia="宋体" w:cs="宋体"/>
          <w:spacing w:val="7"/>
          <w:sz w:val="24"/>
          <w:szCs w:val="24"/>
        </w:rPr>
        <w:t>法</w:t>
      </w:r>
      <w:r>
        <w:rPr>
          <w:rFonts w:hint="eastAsia" w:ascii="宋体" w:hAnsi="宋体" w:eastAsia="宋体" w:cs="宋体"/>
          <w:spacing w:val="6"/>
          <w:sz w:val="24"/>
          <w:szCs w:val="24"/>
        </w:rPr>
        <w:t>定代表人或委托代理人 (签名或盖章) ：</w:t>
      </w:r>
      <w:r>
        <w:rPr>
          <w:rFonts w:hint="eastAsia" w:ascii="宋体" w:hAnsi="宋体" w:eastAsia="宋体" w:cs="宋体"/>
          <w:sz w:val="24"/>
          <w:szCs w:val="24"/>
        </w:rPr>
        <w:t xml:space="preserve"> </w:t>
      </w:r>
    </w:p>
    <w:p w14:paraId="4A294474">
      <w:pPr>
        <w:spacing w:before="196" w:line="405" w:lineRule="auto"/>
        <w:ind w:right="724"/>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日</w:t>
      </w:r>
    </w:p>
    <w:p w14:paraId="03E6C1CF">
      <w:pPr>
        <w:spacing w:before="1" w:line="406" w:lineRule="auto"/>
        <w:ind w:right="52"/>
        <w:rPr>
          <w:rFonts w:hint="eastAsia" w:ascii="宋体" w:hAnsi="宋体" w:eastAsia="宋体" w:cs="宋体"/>
          <w:sz w:val="24"/>
          <w:szCs w:val="24"/>
        </w:rPr>
      </w:pPr>
      <w:r>
        <w:rPr>
          <w:rFonts w:hint="eastAsia" w:ascii="宋体" w:hAnsi="宋体" w:eastAsia="宋体" w:cs="宋体"/>
          <w:spacing w:val="11"/>
          <w:sz w:val="24"/>
          <w:szCs w:val="24"/>
        </w:rPr>
        <w:t>注</w:t>
      </w:r>
      <w:r>
        <w:rPr>
          <w:rFonts w:hint="eastAsia" w:ascii="宋体" w:hAnsi="宋体" w:eastAsia="宋体" w:cs="宋体"/>
          <w:spacing w:val="9"/>
          <w:sz w:val="24"/>
          <w:szCs w:val="24"/>
        </w:rPr>
        <w:t xml:space="preserve">：1. </w:t>
      </w:r>
      <w:r>
        <w:rPr>
          <w:rFonts w:hint="eastAsia" w:ascii="宋体" w:hAnsi="宋体" w:cs="宋体"/>
          <w:spacing w:val="9"/>
          <w:sz w:val="24"/>
          <w:szCs w:val="24"/>
          <w:lang w:val="en-US" w:eastAsia="zh-CN"/>
        </w:rPr>
        <w:t>投标</w:t>
      </w:r>
      <w:r>
        <w:rPr>
          <w:rFonts w:hint="eastAsia" w:ascii="宋体" w:hAnsi="宋体" w:eastAsia="宋体" w:cs="宋体"/>
          <w:spacing w:val="9"/>
          <w:sz w:val="24"/>
          <w:szCs w:val="24"/>
        </w:rPr>
        <w:t>人须在</w:t>
      </w:r>
      <w:r>
        <w:rPr>
          <w:rFonts w:hint="eastAsia" w:ascii="宋体" w:hAnsi="宋体" w:cs="宋体"/>
          <w:spacing w:val="9"/>
          <w:sz w:val="24"/>
          <w:szCs w:val="24"/>
          <w:lang w:val="en-US" w:eastAsia="zh-CN"/>
        </w:rPr>
        <w:t>投标</w:t>
      </w:r>
      <w:r>
        <w:rPr>
          <w:rFonts w:hint="eastAsia" w:ascii="宋体" w:hAnsi="宋体" w:eastAsia="宋体" w:cs="宋体"/>
          <w:spacing w:val="9"/>
          <w:sz w:val="24"/>
          <w:szCs w:val="24"/>
        </w:rPr>
        <w:t>文件中按此模版提供承诺函，未提供视为未实质性响应</w:t>
      </w:r>
      <w:r>
        <w:rPr>
          <w:rFonts w:hint="eastAsia" w:ascii="宋体" w:hAnsi="宋体" w:cs="宋体"/>
          <w:spacing w:val="9"/>
          <w:sz w:val="24"/>
          <w:szCs w:val="24"/>
          <w:lang w:val="en-US" w:eastAsia="zh-CN"/>
        </w:rPr>
        <w:t>招标</w:t>
      </w:r>
      <w:r>
        <w:rPr>
          <w:rFonts w:hint="eastAsia" w:ascii="宋体" w:hAnsi="宋体" w:eastAsia="宋体" w:cs="宋体"/>
          <w:spacing w:val="9"/>
          <w:sz w:val="24"/>
          <w:szCs w:val="24"/>
        </w:rPr>
        <w:t>文件要求，</w:t>
      </w:r>
      <w:r>
        <w:rPr>
          <w:rFonts w:hint="eastAsia" w:ascii="宋体" w:hAnsi="宋体" w:eastAsia="宋体" w:cs="宋体"/>
          <w:spacing w:val="10"/>
          <w:sz w:val="24"/>
          <w:szCs w:val="24"/>
        </w:rPr>
        <w:t>按</w:t>
      </w:r>
      <w:r>
        <w:rPr>
          <w:rFonts w:hint="eastAsia" w:ascii="宋体" w:hAnsi="宋体" w:eastAsia="宋体" w:cs="宋体"/>
          <w:spacing w:val="7"/>
          <w:sz w:val="24"/>
          <w:szCs w:val="24"/>
        </w:rPr>
        <w:t>无效投标处理。</w:t>
      </w:r>
    </w:p>
    <w:p w14:paraId="1308C398">
      <w:pPr>
        <w:spacing w:before="1" w:line="224" w:lineRule="auto"/>
        <w:ind w:firstLine="516" w:firstLineChars="200"/>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cs="宋体"/>
          <w:spacing w:val="9"/>
          <w:sz w:val="24"/>
          <w:szCs w:val="24"/>
          <w:lang w:val="en-US" w:eastAsia="zh-CN"/>
        </w:rPr>
        <w:t>投标</w:t>
      </w:r>
      <w:r>
        <w:rPr>
          <w:rFonts w:hint="eastAsia" w:ascii="宋体" w:hAnsi="宋体" w:eastAsia="宋体" w:cs="宋体"/>
          <w:spacing w:val="9"/>
          <w:sz w:val="24"/>
          <w:szCs w:val="24"/>
        </w:rPr>
        <w:t>人的法定代表人或者委托代理人的签字应真实、有效</w:t>
      </w:r>
      <w:r>
        <w:rPr>
          <w:rFonts w:hint="eastAsia" w:ascii="宋体" w:hAnsi="宋体" w:eastAsia="宋体" w:cs="宋体"/>
          <w:spacing w:val="7"/>
          <w:sz w:val="24"/>
          <w:szCs w:val="24"/>
        </w:rPr>
        <w:t>。</w:t>
      </w:r>
    </w:p>
    <w:p w14:paraId="7F002252">
      <w:pPr>
        <w:rPr>
          <w:rFonts w:hint="eastAsia" w:ascii="宋体" w:hAnsi="宋体" w:eastAsia="宋体" w:cs="宋体"/>
          <w:sz w:val="24"/>
          <w:szCs w:val="24"/>
        </w:rPr>
        <w:sectPr>
          <w:headerReference r:id="rId7" w:type="default"/>
          <w:footerReference r:id="rId8" w:type="default"/>
          <w:pgSz w:w="11906" w:h="16839"/>
          <w:pgMar w:top="1118" w:right="1417" w:bottom="1197" w:left="1418" w:header="878" w:footer="984" w:gutter="0"/>
          <w:pgNumType w:fmt="decimal"/>
          <w:cols w:space="720" w:num="1"/>
        </w:sectPr>
      </w:pPr>
    </w:p>
    <w:p w14:paraId="021108B9">
      <w:pPr>
        <w:pStyle w:val="29"/>
        <w:rPr>
          <w:rFonts w:hint="eastAsia"/>
          <w:color w:val="auto"/>
          <w:highlight w:val="none"/>
          <w:lang w:eastAsia="zh-CN"/>
        </w:rPr>
      </w:pPr>
    </w:p>
    <w:p w14:paraId="38F9E2CC">
      <w:pPr>
        <w:spacing w:line="360" w:lineRule="auto"/>
        <w:jc w:val="center"/>
        <w:outlineLvl w:val="0"/>
        <w:rPr>
          <w:rFonts w:ascii="宋体" w:hAnsi="宋体" w:eastAsia="宋体" w:cs="宋体"/>
          <w:b/>
          <w:bCs/>
          <w:color w:val="auto"/>
          <w:sz w:val="21"/>
          <w:szCs w:val="21"/>
          <w:highlight w:val="none"/>
          <w:lang w:eastAsia="zh-CN"/>
        </w:rPr>
      </w:pPr>
      <w:r>
        <w:rPr>
          <w:rFonts w:hint="eastAsia" w:ascii="宋体" w:hAnsi="宋体" w:eastAsia="宋体" w:cs="Times New Roman"/>
          <w:color w:val="auto"/>
          <w:kern w:val="2"/>
          <w:sz w:val="24"/>
          <w:szCs w:val="24"/>
          <w:highlight w:val="none"/>
          <w:lang w:val="en-US" w:eastAsia="zh-CN" w:bidi="ar-SA"/>
        </w:rPr>
        <w:t>（三）代理服务费承诺函</w:t>
      </w:r>
    </w:p>
    <w:p w14:paraId="3B0D32F2">
      <w:pPr>
        <w:pStyle w:val="10"/>
        <w:spacing w:before="0" w:line="360" w:lineRule="auto"/>
        <w:ind w:left="0"/>
        <w:rPr>
          <w:rFonts w:ascii="宋体" w:hAnsi="宋体" w:eastAsia="宋体" w:cs="宋体"/>
          <w:color w:val="auto"/>
          <w:sz w:val="21"/>
          <w:szCs w:val="21"/>
          <w:highlight w:val="none"/>
          <w:lang w:eastAsia="zh-CN"/>
        </w:rPr>
      </w:pPr>
      <w:r>
        <w:rPr>
          <w:rFonts w:cs="宋体"/>
          <w:color w:val="auto"/>
          <w:highlight w:val="none"/>
          <w:u w:val="single" w:color="000000"/>
          <w:lang w:eastAsia="zh-CN"/>
        </w:rPr>
        <w:t>致</w:t>
      </w:r>
      <w:r>
        <w:rPr>
          <w:color w:val="auto"/>
          <w:highlight w:val="none"/>
          <w:u w:val="single" w:color="000000"/>
          <w:lang w:eastAsia="zh-CN"/>
        </w:rPr>
        <w:t>（采购人及招标代理机构）</w:t>
      </w:r>
      <w:r>
        <w:rPr>
          <w:color w:val="auto"/>
          <w:highlight w:val="none"/>
          <w:lang w:eastAsia="zh-CN"/>
        </w:rPr>
        <w:t>：</w:t>
      </w:r>
    </w:p>
    <w:p w14:paraId="05BA6B6B">
      <w:pPr>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我们在贵公司组织的</w:t>
      </w:r>
      <w:r>
        <w:rPr>
          <w:rFonts w:hint="eastAsia" w:ascii="宋体" w:hAnsi="宋体" w:eastAsia="宋体"/>
          <w:color w:val="auto"/>
          <w:sz w:val="21"/>
          <w:szCs w:val="21"/>
          <w:highlight w:val="none"/>
          <w:u w:val="single"/>
          <w:lang w:eastAsia="zh-CN"/>
        </w:rPr>
        <w:t>（项目名称）</w:t>
      </w:r>
      <w:r>
        <w:rPr>
          <w:rFonts w:hint="eastAsia" w:ascii="宋体" w:hAnsi="宋体"/>
          <w:color w:val="auto"/>
          <w:sz w:val="21"/>
          <w:szCs w:val="21"/>
          <w:highlight w:val="none"/>
          <w:lang w:val="en-US" w:eastAsia="zh-CN"/>
        </w:rPr>
        <w:t>采购招标</w:t>
      </w:r>
      <w:r>
        <w:rPr>
          <w:rFonts w:hint="eastAsia" w:ascii="宋体" w:hAnsi="宋体" w:eastAsia="宋体"/>
          <w:color w:val="auto"/>
          <w:sz w:val="21"/>
          <w:szCs w:val="21"/>
          <w:highlight w:val="none"/>
          <w:lang w:eastAsia="zh-CN"/>
        </w:rPr>
        <w:t>中若获中标，我们保证在成交公告发布后</w:t>
      </w:r>
      <w:r>
        <w:rPr>
          <w:rFonts w:hint="eastAsia" w:ascii="宋体" w:hAnsi="宋体" w:eastAsia="宋体"/>
          <w:color w:val="auto"/>
          <w:sz w:val="21"/>
          <w:szCs w:val="21"/>
          <w:highlight w:val="none"/>
          <w:u w:val="single"/>
          <w:lang w:eastAsia="zh-CN"/>
        </w:rPr>
        <w:t xml:space="preserve"> </w:t>
      </w:r>
      <w:r>
        <w:rPr>
          <w:rFonts w:hint="eastAsia" w:ascii="宋体" w:hAnsi="宋体"/>
          <w:color w:val="auto"/>
          <w:sz w:val="21"/>
          <w:szCs w:val="21"/>
          <w:highlight w:val="none"/>
          <w:u w:val="single"/>
          <w:lang w:val="en-US" w:eastAsia="zh-CN"/>
        </w:rPr>
        <w:t>2</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个工作日内，按</w:t>
      </w:r>
      <w:r>
        <w:rPr>
          <w:rFonts w:hint="eastAsia" w:ascii="宋体" w:hAnsi="宋体"/>
          <w:color w:val="auto"/>
          <w:sz w:val="21"/>
          <w:szCs w:val="21"/>
          <w:highlight w:val="none"/>
          <w:lang w:val="en-US" w:eastAsia="zh-CN"/>
        </w:rPr>
        <w:t>招标</w:t>
      </w:r>
      <w:r>
        <w:rPr>
          <w:rFonts w:hint="eastAsia" w:ascii="宋体" w:hAnsi="宋体" w:eastAsia="宋体"/>
          <w:color w:val="auto"/>
          <w:sz w:val="21"/>
          <w:szCs w:val="21"/>
          <w:highlight w:val="none"/>
          <w:lang w:eastAsia="zh-CN"/>
        </w:rPr>
        <w:t xml:space="preserve">文件的规定，以支票、银行转账、 汇票或现金，向贵公司一次性支付代理服务费用。否则，由此产生的一切法律后果和责任由我公司承担。 我公司声明放弃对此提出任何异议和追索的权利。  </w:t>
      </w:r>
    </w:p>
    <w:p w14:paraId="1FC8E68A">
      <w:pPr>
        <w:pStyle w:val="10"/>
        <w:spacing w:before="0" w:line="360" w:lineRule="auto"/>
        <w:ind w:left="0"/>
        <w:jc w:val="both"/>
        <w:rPr>
          <w:color w:val="auto"/>
          <w:highlight w:val="none"/>
          <w:lang w:eastAsia="zh-CN"/>
        </w:rPr>
      </w:pPr>
      <w:r>
        <w:rPr>
          <w:rFonts w:hint="eastAsia"/>
          <w:color w:val="auto"/>
          <w:highlight w:val="none"/>
          <w:lang w:eastAsia="zh-CN"/>
        </w:rPr>
        <w:t>特此承诺。</w:t>
      </w:r>
    </w:p>
    <w:p w14:paraId="19E26551">
      <w:pPr>
        <w:spacing w:line="360" w:lineRule="auto"/>
        <w:rPr>
          <w:rFonts w:ascii="宋体" w:hAnsi="宋体" w:eastAsia="宋体" w:cs="宋体"/>
          <w:color w:val="auto"/>
          <w:sz w:val="20"/>
          <w:szCs w:val="20"/>
          <w:highlight w:val="none"/>
          <w:lang w:eastAsia="zh-CN"/>
        </w:rPr>
      </w:pPr>
    </w:p>
    <w:p w14:paraId="0D98B37F">
      <w:pPr>
        <w:spacing w:line="360" w:lineRule="auto"/>
        <w:rPr>
          <w:rFonts w:ascii="宋体" w:hAnsi="宋体" w:eastAsia="宋体" w:cs="宋体"/>
          <w:color w:val="auto"/>
          <w:sz w:val="20"/>
          <w:szCs w:val="20"/>
          <w:highlight w:val="none"/>
          <w:lang w:eastAsia="zh-CN"/>
        </w:rPr>
      </w:pPr>
    </w:p>
    <w:p w14:paraId="57D18B49">
      <w:pPr>
        <w:spacing w:line="360" w:lineRule="auto"/>
        <w:rPr>
          <w:rFonts w:ascii="宋体" w:hAnsi="宋体" w:eastAsia="宋体" w:cs="宋体"/>
          <w:color w:val="auto"/>
          <w:sz w:val="20"/>
          <w:szCs w:val="20"/>
          <w:highlight w:val="none"/>
          <w:lang w:eastAsia="zh-CN"/>
        </w:rPr>
      </w:pPr>
    </w:p>
    <w:p w14:paraId="2123F721">
      <w:pPr>
        <w:spacing w:line="360" w:lineRule="auto"/>
        <w:rPr>
          <w:rFonts w:ascii="宋体" w:hAnsi="宋体" w:eastAsia="宋体" w:cs="宋体"/>
          <w:color w:val="auto"/>
          <w:sz w:val="20"/>
          <w:szCs w:val="20"/>
          <w:highlight w:val="none"/>
          <w:lang w:eastAsia="zh-CN"/>
        </w:rPr>
      </w:pPr>
    </w:p>
    <w:p w14:paraId="306D6EE0">
      <w:pPr>
        <w:spacing w:line="360" w:lineRule="auto"/>
        <w:rPr>
          <w:rFonts w:ascii="宋体" w:hAnsi="宋体" w:eastAsia="宋体" w:cs="宋体"/>
          <w:color w:val="auto"/>
          <w:sz w:val="20"/>
          <w:szCs w:val="20"/>
          <w:highlight w:val="none"/>
          <w:lang w:eastAsia="zh-CN"/>
        </w:rPr>
      </w:pPr>
    </w:p>
    <w:p w14:paraId="26DF35BB">
      <w:pPr>
        <w:spacing w:line="360" w:lineRule="auto"/>
        <w:rPr>
          <w:rFonts w:ascii="宋体" w:hAnsi="宋体" w:eastAsia="宋体" w:cs="宋体"/>
          <w:color w:val="auto"/>
          <w:sz w:val="16"/>
          <w:szCs w:val="16"/>
          <w:highlight w:val="none"/>
          <w:lang w:eastAsia="zh-CN"/>
        </w:rPr>
      </w:pPr>
    </w:p>
    <w:p w14:paraId="3F8AB8B2">
      <w:pPr>
        <w:pStyle w:val="10"/>
        <w:keepNext w:val="0"/>
        <w:keepLines w:val="0"/>
        <w:pageBreakBefore w:val="0"/>
        <w:widowControl w:val="0"/>
        <w:kinsoku/>
        <w:wordWrap/>
        <w:overflowPunct/>
        <w:topLinePunct w:val="0"/>
        <w:autoSpaceDE/>
        <w:autoSpaceDN/>
        <w:bidi w:val="0"/>
        <w:adjustRightInd/>
        <w:snapToGrid/>
        <w:spacing w:before="0" w:after="0" w:afterLines="0" w:line="360" w:lineRule="auto"/>
        <w:ind w:left="0" w:firstLine="19"/>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（企业电子签章）</w:t>
      </w:r>
    </w:p>
    <w:p w14:paraId="3359CDDE">
      <w:pPr>
        <w:pStyle w:val="10"/>
        <w:keepNext w:val="0"/>
        <w:keepLines w:val="0"/>
        <w:pageBreakBefore w:val="0"/>
        <w:widowControl w:val="0"/>
        <w:kinsoku/>
        <w:wordWrap/>
        <w:overflowPunct/>
        <w:topLinePunct w:val="0"/>
        <w:autoSpaceDE/>
        <w:autoSpaceDN/>
        <w:bidi w:val="0"/>
        <w:adjustRightInd/>
        <w:snapToGrid/>
        <w:spacing w:before="0" w:after="0" w:afterLines="0" w:line="360" w:lineRule="auto"/>
        <w:ind w:left="0" w:firstLine="19"/>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（个人电子签章）</w:t>
      </w:r>
    </w:p>
    <w:p w14:paraId="245B34B5">
      <w:pPr>
        <w:pStyle w:val="10"/>
        <w:keepNext w:val="0"/>
        <w:keepLines w:val="0"/>
        <w:pageBreakBefore w:val="0"/>
        <w:widowControl w:val="0"/>
        <w:kinsoku/>
        <w:wordWrap/>
        <w:overflowPunct/>
        <w:topLinePunct w:val="0"/>
        <w:autoSpaceDE/>
        <w:autoSpaceDN/>
        <w:bidi w:val="0"/>
        <w:adjustRightInd/>
        <w:snapToGrid/>
        <w:spacing w:before="0" w:after="0" w:afterLines="0" w:line="360" w:lineRule="auto"/>
        <w:ind w:left="0" w:firstLine="19"/>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p>
    <w:p w14:paraId="14C98024">
      <w:pPr>
        <w:pStyle w:val="28"/>
        <w:ind w:firstLine="240"/>
        <w:rPr>
          <w:rFonts w:ascii="宋体" w:hAnsi="宋体"/>
          <w:color w:val="auto"/>
          <w:sz w:val="24"/>
          <w:highlight w:val="none"/>
        </w:rPr>
      </w:pPr>
    </w:p>
    <w:p w14:paraId="13DA1D46">
      <w:pPr>
        <w:rPr>
          <w:rFonts w:hint="eastAsia"/>
          <w:color w:val="auto"/>
          <w:highlight w:val="none"/>
          <w:lang w:eastAsia="zh-CN"/>
        </w:rPr>
        <w:sectPr>
          <w:pgSz w:w="11920" w:h="16840"/>
          <w:pgMar w:top="1420" w:right="1420" w:bottom="1160" w:left="1420" w:header="0" w:footer="975" w:gutter="0"/>
          <w:cols w:space="720" w:num="1"/>
        </w:sectPr>
      </w:pPr>
    </w:p>
    <w:p w14:paraId="299CEDF8">
      <w:pPr>
        <w:pStyle w:val="54"/>
        <w:keepNext/>
        <w:keepLines/>
        <w:widowControl w:val="0"/>
        <w:numPr>
          <w:ilvl w:val="0"/>
          <w:numId w:val="0"/>
        </w:numPr>
        <w:spacing w:before="0" w:beforeLines="100" w:after="0" w:afterLines="100" w:line="400" w:lineRule="exact"/>
        <w:jc w:val="both"/>
        <w:outlineLvl w:val="2"/>
        <w:rPr>
          <w:rFonts w:hint="eastAsia" w:ascii="宋体" w:hAnsi="宋体" w:eastAsia="宋体" w:cs="Times New Roman"/>
          <w:b/>
          <w:bCs/>
          <w:color w:val="auto"/>
          <w:kern w:val="2"/>
          <w:sz w:val="24"/>
          <w:highlight w:val="none"/>
          <w:lang w:val="en-US" w:eastAsia="zh-CN" w:bidi="ar-SA"/>
        </w:rPr>
      </w:pPr>
    </w:p>
    <w:p w14:paraId="7EFB53FD">
      <w:pPr>
        <w:pStyle w:val="3"/>
        <w:numPr>
          <w:ilvl w:val="1"/>
          <w:numId w:val="0"/>
        </w:numPr>
        <w:jc w:val="center"/>
        <w:rPr>
          <w:rFonts w:hint="eastAsia" w:ascii="宋体" w:hAnsi="宋体" w:eastAsia="宋体"/>
          <w:b/>
          <w:color w:val="auto"/>
          <w:sz w:val="28"/>
          <w:szCs w:val="22"/>
          <w:highlight w:val="none"/>
          <w:lang w:eastAsia="zh-CN"/>
        </w:rPr>
      </w:pPr>
      <w:bookmarkStart w:id="220" w:name="_Toc1329"/>
      <w:bookmarkStart w:id="221" w:name="_Toc276230934"/>
      <w:bookmarkStart w:id="222" w:name="_Toc241904709"/>
      <w:bookmarkStart w:id="223" w:name="_Toc276229576"/>
      <w:bookmarkStart w:id="224" w:name="_Toc317669269"/>
      <w:r>
        <w:rPr>
          <w:rFonts w:hint="eastAsia" w:ascii="宋体" w:hAnsi="宋体"/>
          <w:b/>
          <w:color w:val="auto"/>
          <w:sz w:val="28"/>
          <w:szCs w:val="22"/>
          <w:highlight w:val="none"/>
          <w:lang w:eastAsia="zh-CN"/>
        </w:rPr>
        <w:t>七</w:t>
      </w:r>
      <w:r>
        <w:rPr>
          <w:rFonts w:hint="eastAsia" w:ascii="宋体" w:hAnsi="宋体"/>
          <w:b/>
          <w:color w:val="auto"/>
          <w:sz w:val="28"/>
          <w:szCs w:val="22"/>
          <w:highlight w:val="none"/>
        </w:rPr>
        <w:t>、</w:t>
      </w:r>
      <w:bookmarkEnd w:id="220"/>
      <w:bookmarkEnd w:id="221"/>
      <w:bookmarkEnd w:id="222"/>
      <w:bookmarkEnd w:id="223"/>
      <w:bookmarkEnd w:id="224"/>
      <w:bookmarkStart w:id="225" w:name="_Toc28382"/>
      <w:r>
        <w:rPr>
          <w:rFonts w:hint="eastAsia" w:ascii="宋体" w:hAnsi="宋体"/>
          <w:b/>
          <w:color w:val="auto"/>
          <w:sz w:val="28"/>
          <w:szCs w:val="22"/>
          <w:highlight w:val="none"/>
          <w:lang w:eastAsia="zh-CN"/>
        </w:rPr>
        <w:t>售后服务及优惠</w:t>
      </w:r>
      <w:r>
        <w:rPr>
          <w:rFonts w:hint="eastAsia" w:ascii="宋体" w:hAnsi="宋体"/>
          <w:b/>
          <w:color w:val="auto"/>
          <w:sz w:val="28"/>
          <w:szCs w:val="22"/>
          <w:highlight w:val="none"/>
        </w:rPr>
        <w:t>承诺</w:t>
      </w:r>
      <w:r>
        <w:rPr>
          <w:rFonts w:hint="eastAsia" w:ascii="宋体" w:hAnsi="宋体"/>
          <w:b/>
          <w:color w:val="auto"/>
          <w:sz w:val="28"/>
          <w:szCs w:val="22"/>
          <w:highlight w:val="none"/>
          <w:lang w:eastAsia="zh-CN"/>
        </w:rPr>
        <w:t>（格式自拟）</w:t>
      </w:r>
    </w:p>
    <w:p w14:paraId="713ED405">
      <w:pPr>
        <w:spacing w:line="360" w:lineRule="auto"/>
        <w:rPr>
          <w:rFonts w:ascii="宋体" w:hAnsi="宋体"/>
          <w:color w:val="auto"/>
          <w:sz w:val="24"/>
          <w:highlight w:val="none"/>
        </w:rPr>
      </w:pPr>
    </w:p>
    <w:p w14:paraId="23F0337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bookmarkEnd w:id="225"/>
    <w:p w14:paraId="2108268F">
      <w:pPr>
        <w:pStyle w:val="3"/>
        <w:jc w:val="center"/>
        <w:rPr>
          <w:rFonts w:ascii="宋体" w:hAnsi="宋体"/>
          <w:b/>
          <w:color w:val="auto"/>
          <w:sz w:val="28"/>
          <w:szCs w:val="22"/>
          <w:highlight w:val="none"/>
        </w:rPr>
      </w:pPr>
      <w:r>
        <w:rPr>
          <w:rFonts w:hint="eastAsia" w:ascii="宋体" w:hAnsi="宋体"/>
          <w:b/>
          <w:color w:val="auto"/>
          <w:sz w:val="28"/>
          <w:szCs w:val="22"/>
          <w:highlight w:val="none"/>
          <w:lang w:eastAsia="zh-CN"/>
        </w:rPr>
        <w:t>八</w:t>
      </w:r>
      <w:r>
        <w:rPr>
          <w:rFonts w:hint="eastAsia" w:ascii="宋体" w:hAnsi="宋体"/>
          <w:b/>
          <w:color w:val="auto"/>
          <w:sz w:val="28"/>
          <w:szCs w:val="22"/>
          <w:highlight w:val="none"/>
        </w:rPr>
        <w:t>、供应商承诺函</w:t>
      </w:r>
    </w:p>
    <w:p w14:paraId="0AEDCADD">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致</w:t>
      </w:r>
      <w:r>
        <w:rPr>
          <w:rFonts w:hint="eastAsia" w:cs="宋体"/>
          <w:color w:val="auto"/>
          <w:kern w:val="2"/>
          <w:sz w:val="21"/>
          <w:szCs w:val="21"/>
          <w:highlight w:val="none"/>
          <w:u w:val="single"/>
        </w:rPr>
        <w:t>（采购人及采购代理机构）</w:t>
      </w:r>
      <w:r>
        <w:rPr>
          <w:rFonts w:hint="eastAsia" w:cs="宋体"/>
          <w:color w:val="auto"/>
          <w:kern w:val="2"/>
          <w:sz w:val="21"/>
          <w:szCs w:val="21"/>
          <w:highlight w:val="none"/>
        </w:rPr>
        <w:t>：</w:t>
      </w:r>
    </w:p>
    <w:p w14:paraId="0036572D">
      <w:pPr>
        <w:pStyle w:val="26"/>
        <w:shd w:val="clear" w:color="auto" w:fill="FFFFFF"/>
        <w:spacing w:before="0" w:beforeAutospacing="0" w:after="0" w:afterAutospacing="0" w:line="360" w:lineRule="auto"/>
        <w:ind w:firstLine="480"/>
        <w:rPr>
          <w:rFonts w:cs="宋体"/>
          <w:color w:val="auto"/>
          <w:kern w:val="2"/>
          <w:sz w:val="21"/>
          <w:szCs w:val="21"/>
          <w:highlight w:val="none"/>
        </w:rPr>
      </w:pPr>
      <w:r>
        <w:rPr>
          <w:rFonts w:hint="eastAsia" w:cs="宋体"/>
          <w:color w:val="auto"/>
          <w:kern w:val="2"/>
          <w:sz w:val="21"/>
          <w:szCs w:val="21"/>
          <w:highlight w:val="none"/>
        </w:rPr>
        <w:t>我公司作为本次采购项目的供应商，根据招标文件要求，现郑重承诺如下：    </w:t>
      </w:r>
    </w:p>
    <w:p w14:paraId="7CA1789D">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存在以下行为之一的愿意接受相关部门的处理并支付违约金同时赔偿守约方因此所遭受的直接经济损失，违约金计算标准按照采购项目采购预算的2%：</w:t>
      </w:r>
    </w:p>
    <w:p w14:paraId="2CB05317">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（一）投标有效期内撤销投标文件的；</w:t>
      </w:r>
    </w:p>
    <w:p w14:paraId="579EF51D">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（二）在采购人确定中标人以前放弃中标候选资格的；</w:t>
      </w:r>
    </w:p>
    <w:p w14:paraId="5134E4ED">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（三）由于中标人的原因未能按照招标文件的规定与采购人签订合同；</w:t>
      </w:r>
    </w:p>
    <w:p w14:paraId="44766111">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（四）在投标文件中提供虚假材料谋取中标；</w:t>
      </w:r>
    </w:p>
    <w:p w14:paraId="309DAE7D">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（五）与采购人、其他供应商或者采购代理机构恶意串通的；</w:t>
      </w:r>
    </w:p>
    <w:p w14:paraId="5B6C5456">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（六）投标有效期内，供应商在政府采购活动中有违法、违规、违纪行为。</w:t>
      </w:r>
    </w:p>
    <w:p w14:paraId="1E7F2677">
      <w:pPr>
        <w:pStyle w:val="26"/>
        <w:shd w:val="clear" w:color="auto" w:fill="FFFFFF"/>
        <w:spacing w:before="0" w:beforeAutospacing="0" w:after="0" w:afterAutospacing="0" w:line="360" w:lineRule="auto"/>
        <w:jc w:val="both"/>
        <w:rPr>
          <w:rFonts w:cs="宋体"/>
          <w:color w:val="auto"/>
          <w:kern w:val="2"/>
          <w:sz w:val="21"/>
          <w:szCs w:val="21"/>
          <w:highlight w:val="none"/>
        </w:rPr>
      </w:pPr>
      <w:r>
        <w:rPr>
          <w:rFonts w:hint="eastAsia" w:cs="宋体"/>
          <w:color w:val="auto"/>
          <w:kern w:val="2"/>
          <w:sz w:val="21"/>
          <w:szCs w:val="21"/>
          <w:highlight w:val="none"/>
        </w:rPr>
        <w:t> 由此产生的一切法律后果和责任由我公司承担。我公司声明放弃对此提出任何异议和追索的权利。</w:t>
      </w:r>
    </w:p>
    <w:p w14:paraId="15EE77C8">
      <w:pPr>
        <w:pStyle w:val="26"/>
        <w:shd w:val="clear" w:color="auto" w:fill="FFFFFF"/>
        <w:spacing w:before="0" w:beforeAutospacing="0" w:after="0" w:afterAutospacing="0" w:line="360" w:lineRule="auto"/>
        <w:ind w:firstLine="690"/>
        <w:jc w:val="both"/>
        <w:rPr>
          <w:rFonts w:cs="宋体"/>
          <w:color w:val="auto"/>
          <w:kern w:val="2"/>
          <w:sz w:val="21"/>
          <w:szCs w:val="21"/>
          <w:highlight w:val="none"/>
        </w:rPr>
      </w:pPr>
      <w:r>
        <w:rPr>
          <w:rFonts w:hint="eastAsia" w:cs="宋体"/>
          <w:color w:val="auto"/>
          <w:kern w:val="2"/>
          <w:sz w:val="21"/>
          <w:szCs w:val="21"/>
          <w:highlight w:val="none"/>
        </w:rPr>
        <w:t>本公司对上述承诺的内容事项真实性负责。如经查实上述承诺的内容事项存在虚假，我公司愿意接受以提供虚假材料谋取中标追究法律责任。</w:t>
      </w:r>
    </w:p>
    <w:p w14:paraId="49C84BB1">
      <w:pPr>
        <w:pStyle w:val="26"/>
        <w:shd w:val="clear" w:color="auto" w:fill="FFFFFF"/>
        <w:spacing w:before="0" w:beforeAutospacing="0" w:after="0" w:afterAutospacing="0" w:line="360" w:lineRule="atLeast"/>
        <w:rPr>
          <w:rFonts w:cs="宋体"/>
          <w:color w:val="auto"/>
          <w:kern w:val="2"/>
          <w:sz w:val="21"/>
          <w:szCs w:val="21"/>
          <w:highlight w:val="none"/>
        </w:rPr>
      </w:pPr>
      <w:r>
        <w:rPr>
          <w:rFonts w:hint="eastAsia" w:cs="宋体"/>
          <w:color w:val="auto"/>
          <w:kern w:val="2"/>
          <w:sz w:val="21"/>
          <w:szCs w:val="21"/>
          <w:highlight w:val="none"/>
        </w:rPr>
        <w:t>       </w:t>
      </w:r>
    </w:p>
    <w:p w14:paraId="051DFB98">
      <w:pPr>
        <w:pStyle w:val="26"/>
        <w:shd w:val="clear" w:color="auto" w:fill="FFFFFF"/>
        <w:spacing w:before="0" w:beforeAutospacing="0" w:after="0" w:afterAutospacing="0" w:line="360" w:lineRule="atLeast"/>
        <w:ind w:firstLine="465"/>
        <w:rPr>
          <w:color w:val="auto"/>
          <w:sz w:val="21"/>
          <w:szCs w:val="21"/>
          <w:highlight w:val="none"/>
        </w:rPr>
      </w:pPr>
      <w:r>
        <w:rPr>
          <w:rFonts w:hint="eastAsia"/>
          <w:color w:val="auto"/>
          <w:sz w:val="21"/>
          <w:szCs w:val="21"/>
          <w:highlight w:val="none"/>
        </w:rPr>
        <w:t>供应商名称：</w:t>
      </w:r>
      <w:r>
        <w:rPr>
          <w:rFonts w:hint="eastAsia"/>
          <w:color w:val="auto"/>
          <w:sz w:val="21"/>
          <w:szCs w:val="21"/>
          <w:highlight w:val="none"/>
          <w:u w:val="single"/>
        </w:rPr>
        <w:t xml:space="preserve">                    </w:t>
      </w:r>
      <w:r>
        <w:rPr>
          <w:rFonts w:hint="eastAsia"/>
          <w:color w:val="auto"/>
          <w:sz w:val="21"/>
          <w:szCs w:val="21"/>
          <w:highlight w:val="none"/>
        </w:rPr>
        <w:t>（企业电子签章）</w:t>
      </w:r>
    </w:p>
    <w:p w14:paraId="7D9FBA2B">
      <w:pPr>
        <w:pStyle w:val="26"/>
        <w:shd w:val="clear" w:color="auto" w:fill="FFFFFF"/>
        <w:spacing w:before="0" w:beforeAutospacing="0" w:after="0" w:afterAutospacing="0" w:line="360" w:lineRule="atLeast"/>
        <w:ind w:firstLine="465"/>
        <w:rPr>
          <w:rFonts w:cs="宋体"/>
          <w:color w:val="auto"/>
          <w:kern w:val="2"/>
          <w:sz w:val="21"/>
          <w:szCs w:val="21"/>
          <w:highlight w:val="none"/>
        </w:rPr>
      </w:pPr>
      <w:r>
        <w:rPr>
          <w:rFonts w:hint="eastAsia" w:cs="宋体"/>
          <w:color w:val="auto"/>
          <w:kern w:val="2"/>
          <w:sz w:val="21"/>
          <w:szCs w:val="21"/>
          <w:highlight w:val="none"/>
        </w:rPr>
        <w:t>法定代表人：</w:t>
      </w:r>
      <w:r>
        <w:rPr>
          <w:rFonts w:hint="eastAsia" w:cs="宋体"/>
          <w:color w:val="auto"/>
          <w:kern w:val="2"/>
          <w:sz w:val="21"/>
          <w:szCs w:val="21"/>
          <w:highlight w:val="none"/>
          <w:u w:val="single"/>
        </w:rPr>
        <w:t>           </w:t>
      </w:r>
      <w:r>
        <w:rPr>
          <w:rFonts w:hint="eastAsia" w:cs="宋体"/>
          <w:color w:val="auto"/>
          <w:kern w:val="2"/>
          <w:sz w:val="21"/>
          <w:szCs w:val="21"/>
          <w:highlight w:val="none"/>
        </w:rPr>
        <w:t>（个人电子签章）</w:t>
      </w:r>
    </w:p>
    <w:p w14:paraId="6CD51EFD">
      <w:pPr>
        <w:pStyle w:val="26"/>
        <w:shd w:val="clear" w:color="auto" w:fill="FFFFFF"/>
        <w:spacing w:before="0" w:beforeAutospacing="0" w:after="0" w:afterAutospacing="0"/>
        <w:ind w:firstLine="480"/>
        <w:jc w:val="both"/>
        <w:rPr>
          <w:rFonts w:cs="宋体"/>
          <w:color w:val="auto"/>
          <w:kern w:val="2"/>
          <w:sz w:val="21"/>
          <w:szCs w:val="21"/>
          <w:highlight w:val="none"/>
          <w:u w:val="single"/>
        </w:rPr>
      </w:pPr>
      <w:r>
        <w:rPr>
          <w:rFonts w:hint="eastAsia" w:cs="宋体"/>
          <w:color w:val="auto"/>
          <w:kern w:val="2"/>
          <w:sz w:val="21"/>
          <w:szCs w:val="21"/>
          <w:highlight w:val="none"/>
        </w:rPr>
        <w:t>日期：</w:t>
      </w:r>
      <w:r>
        <w:rPr>
          <w:rFonts w:hint="eastAsia" w:cs="宋体"/>
          <w:color w:val="auto"/>
          <w:kern w:val="2"/>
          <w:sz w:val="21"/>
          <w:szCs w:val="21"/>
          <w:highlight w:val="none"/>
          <w:u w:val="single"/>
        </w:rPr>
        <w:t>              </w:t>
      </w:r>
    </w:p>
    <w:p w14:paraId="262C1144">
      <w:pPr>
        <w:pStyle w:val="4"/>
        <w:jc w:val="center"/>
        <w:rPr>
          <w:rFonts w:ascii="宋体" w:hAnsi="宋体" w:eastAsia="宋体" w:cs="宋体"/>
          <w:color w:val="auto"/>
          <w:szCs w:val="22"/>
          <w:highlight w:val="none"/>
        </w:rPr>
      </w:pPr>
      <w:r>
        <w:rPr>
          <w:rFonts w:hint="eastAsia" w:ascii="宋体" w:hAnsi="宋体" w:eastAsia="宋体"/>
          <w:b/>
          <w:color w:val="auto"/>
          <w:sz w:val="28"/>
          <w:szCs w:val="22"/>
          <w:highlight w:val="none"/>
          <w:lang w:eastAsia="zh-CN"/>
        </w:rPr>
        <w:t>九</w:t>
      </w:r>
      <w:r>
        <w:rPr>
          <w:rFonts w:hint="eastAsia" w:ascii="宋体" w:hAnsi="宋体" w:eastAsia="宋体"/>
          <w:b/>
          <w:color w:val="auto"/>
          <w:sz w:val="28"/>
          <w:szCs w:val="22"/>
          <w:highlight w:val="none"/>
        </w:rPr>
        <w:t>、供应商认为必要提供的其它材料</w:t>
      </w:r>
      <w:r>
        <w:rPr>
          <w:rFonts w:ascii="宋体" w:hAnsi="宋体" w:eastAsia="宋体" w:cs="宋体"/>
          <w:color w:val="auto"/>
          <w:szCs w:val="22"/>
          <w:highlight w:val="none"/>
        </w:rPr>
        <w:br w:type="textWrapping"/>
      </w:r>
    </w:p>
    <w:p w14:paraId="35638369">
      <w:pPr>
        <w:pStyle w:val="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注：后附（评标办法中所涉及的供应商能力证明文件）</w:t>
      </w:r>
    </w:p>
    <w:p w14:paraId="02F137F9">
      <w:pPr>
        <w:pStyle w:val="3"/>
        <w:numPr>
          <w:ilvl w:val="1"/>
          <w:numId w:val="0"/>
        </w:numPr>
        <w:rPr>
          <w:rFonts w:ascii="宋体" w:hAnsi="宋体" w:cs="宋体"/>
          <w:color w:val="auto"/>
          <w:highlight w:val="none"/>
        </w:rPr>
      </w:pPr>
    </w:p>
    <w:p w14:paraId="20CB40C7">
      <w:pPr>
        <w:pStyle w:val="3"/>
        <w:spacing w:before="0" w:after="0" w:line="360" w:lineRule="auto"/>
        <w:rPr>
          <w:rFonts w:ascii="宋体" w:hAnsi="宋体" w:cs="宋体"/>
          <w:color w:val="auto"/>
          <w:szCs w:val="22"/>
          <w:highlight w:val="none"/>
        </w:rPr>
      </w:pPr>
      <w:bookmarkStart w:id="226" w:name="_Toc29395"/>
      <w:bookmarkEnd w:id="226"/>
      <w:bookmarkStart w:id="227" w:name="_Toc29788"/>
      <w:bookmarkStart w:id="228" w:name="_Toc364062926"/>
      <w:bookmarkStart w:id="229" w:name="_Toc3865"/>
      <w:bookmarkStart w:id="230" w:name="_Toc15400"/>
      <w:bookmarkStart w:id="231" w:name="_Toc17194"/>
      <w:bookmarkStart w:id="232" w:name="_Toc4924"/>
    </w:p>
    <w:p w14:paraId="09EF7CE9">
      <w:pPr>
        <w:pStyle w:val="3"/>
        <w:spacing w:before="0" w:after="0" w:line="360" w:lineRule="auto"/>
        <w:rPr>
          <w:rFonts w:ascii="宋体" w:hAnsi="宋体" w:cs="宋体"/>
          <w:color w:val="auto"/>
          <w:szCs w:val="22"/>
          <w:highlight w:val="none"/>
        </w:rPr>
      </w:pPr>
    </w:p>
    <w:p w14:paraId="009FA56E">
      <w:pPr>
        <w:pStyle w:val="3"/>
        <w:spacing w:before="0" w:after="0" w:line="360" w:lineRule="auto"/>
        <w:rPr>
          <w:rFonts w:ascii="宋体" w:hAnsi="宋体" w:cs="宋体"/>
          <w:color w:val="auto"/>
          <w:szCs w:val="22"/>
          <w:highlight w:val="none"/>
        </w:rPr>
      </w:pPr>
    </w:p>
    <w:p w14:paraId="548DD45B">
      <w:pPr>
        <w:pStyle w:val="3"/>
        <w:spacing w:before="0" w:after="0" w:line="360" w:lineRule="auto"/>
        <w:rPr>
          <w:rFonts w:ascii="宋体" w:hAnsi="宋体" w:cs="宋体"/>
          <w:color w:val="auto"/>
          <w:szCs w:val="22"/>
          <w:highlight w:val="none"/>
        </w:rPr>
      </w:pPr>
    </w:p>
    <w:p w14:paraId="05A35080">
      <w:pPr>
        <w:pStyle w:val="3"/>
        <w:spacing w:before="0" w:after="0" w:line="360" w:lineRule="auto"/>
        <w:rPr>
          <w:rFonts w:ascii="宋体" w:hAnsi="宋体" w:cs="宋体"/>
          <w:color w:val="auto"/>
          <w:szCs w:val="22"/>
          <w:highlight w:val="none"/>
        </w:rPr>
      </w:pPr>
    </w:p>
    <w:p w14:paraId="023DAE9E">
      <w:pPr>
        <w:pStyle w:val="3"/>
        <w:spacing w:before="0" w:after="0" w:line="360" w:lineRule="auto"/>
        <w:rPr>
          <w:rFonts w:ascii="宋体" w:hAnsi="宋体" w:cs="宋体"/>
          <w:color w:val="auto"/>
          <w:szCs w:val="22"/>
          <w:highlight w:val="none"/>
        </w:rPr>
      </w:pPr>
    </w:p>
    <w:p w14:paraId="00D5C64E">
      <w:pPr>
        <w:pStyle w:val="3"/>
        <w:spacing w:before="0" w:after="0" w:line="360" w:lineRule="auto"/>
        <w:rPr>
          <w:rFonts w:ascii="宋体" w:hAnsi="宋体" w:cs="宋体"/>
          <w:color w:val="auto"/>
          <w:szCs w:val="22"/>
          <w:highlight w:val="none"/>
        </w:rPr>
      </w:pPr>
    </w:p>
    <w:p w14:paraId="3FF02C11">
      <w:pPr>
        <w:pStyle w:val="3"/>
        <w:spacing w:before="0" w:after="0" w:line="360" w:lineRule="auto"/>
        <w:rPr>
          <w:rFonts w:ascii="宋体" w:hAnsi="宋体" w:cs="宋体"/>
          <w:color w:val="auto"/>
          <w:szCs w:val="22"/>
          <w:highlight w:val="none"/>
        </w:rPr>
      </w:pPr>
    </w:p>
    <w:p w14:paraId="0358F14C">
      <w:pPr>
        <w:pStyle w:val="3"/>
        <w:spacing w:before="0" w:after="0" w:line="360" w:lineRule="auto"/>
        <w:rPr>
          <w:rFonts w:ascii="宋体" w:hAnsi="宋体" w:cs="宋体"/>
          <w:color w:val="auto"/>
          <w:szCs w:val="22"/>
          <w:highlight w:val="none"/>
        </w:rPr>
      </w:pPr>
    </w:p>
    <w:p w14:paraId="0FC9D705">
      <w:pPr>
        <w:pStyle w:val="3"/>
        <w:spacing w:before="0" w:after="0" w:line="360" w:lineRule="auto"/>
        <w:rPr>
          <w:rFonts w:ascii="宋体" w:hAnsi="宋体" w:cs="宋体"/>
          <w:color w:val="auto"/>
          <w:szCs w:val="22"/>
          <w:highlight w:val="none"/>
        </w:rPr>
      </w:pPr>
    </w:p>
    <w:p w14:paraId="73119624">
      <w:pPr>
        <w:pStyle w:val="3"/>
        <w:spacing w:before="0" w:after="0" w:line="360" w:lineRule="auto"/>
        <w:rPr>
          <w:rFonts w:ascii="宋体" w:hAnsi="宋体" w:cs="宋体"/>
          <w:color w:val="auto"/>
          <w:szCs w:val="22"/>
          <w:highlight w:val="none"/>
        </w:rPr>
      </w:pPr>
    </w:p>
    <w:p w14:paraId="28F083CE">
      <w:pPr>
        <w:pStyle w:val="3"/>
        <w:spacing w:before="0" w:after="0" w:line="360" w:lineRule="auto"/>
        <w:rPr>
          <w:rFonts w:ascii="宋体" w:hAnsi="宋体" w:cs="宋体"/>
          <w:color w:val="auto"/>
          <w:szCs w:val="22"/>
          <w:highlight w:val="none"/>
        </w:rPr>
      </w:pPr>
    </w:p>
    <w:p w14:paraId="3AC3A962">
      <w:pPr>
        <w:pStyle w:val="3"/>
        <w:spacing w:before="0" w:after="0" w:line="360" w:lineRule="auto"/>
        <w:rPr>
          <w:rFonts w:ascii="宋体" w:hAnsi="宋体" w:cs="宋体"/>
          <w:color w:val="auto"/>
          <w:szCs w:val="22"/>
          <w:highlight w:val="none"/>
        </w:rPr>
      </w:pPr>
    </w:p>
    <w:p w14:paraId="35EF056C">
      <w:pPr>
        <w:pStyle w:val="3"/>
        <w:spacing w:before="0" w:after="0" w:line="360" w:lineRule="auto"/>
        <w:rPr>
          <w:rFonts w:ascii="宋体" w:hAnsi="宋体" w:cs="宋体"/>
          <w:color w:val="auto"/>
          <w:szCs w:val="22"/>
          <w:highlight w:val="none"/>
        </w:rPr>
      </w:pPr>
    </w:p>
    <w:p w14:paraId="173D3330">
      <w:pPr>
        <w:pStyle w:val="3"/>
        <w:spacing w:before="0" w:after="0" w:line="360" w:lineRule="auto"/>
        <w:rPr>
          <w:rFonts w:ascii="宋体" w:hAnsi="宋体" w:cs="宋体"/>
          <w:color w:val="auto"/>
          <w:szCs w:val="22"/>
          <w:highlight w:val="none"/>
        </w:rPr>
      </w:pPr>
    </w:p>
    <w:p w14:paraId="4DB3A08D">
      <w:pPr>
        <w:pStyle w:val="3"/>
        <w:spacing w:before="0" w:after="0" w:line="360" w:lineRule="auto"/>
        <w:rPr>
          <w:rFonts w:ascii="宋体" w:hAnsi="宋体" w:cs="宋体"/>
          <w:color w:val="auto"/>
          <w:szCs w:val="22"/>
          <w:highlight w:val="none"/>
        </w:rPr>
      </w:pPr>
    </w:p>
    <w:p w14:paraId="6B362151">
      <w:pPr>
        <w:rPr>
          <w:rFonts w:ascii="宋体" w:hAnsi="宋体" w:cs="宋体"/>
          <w:color w:val="auto"/>
          <w:szCs w:val="22"/>
          <w:highlight w:val="none"/>
        </w:rPr>
      </w:pPr>
    </w:p>
    <w:p w14:paraId="152DFE8D">
      <w:pPr>
        <w:pStyle w:val="52"/>
        <w:rPr>
          <w:rFonts w:ascii="宋体" w:hAnsi="宋体" w:cs="宋体"/>
          <w:color w:val="auto"/>
          <w:szCs w:val="22"/>
          <w:highlight w:val="none"/>
        </w:rPr>
      </w:pPr>
    </w:p>
    <w:bookmarkEnd w:id="227"/>
    <w:bookmarkEnd w:id="228"/>
    <w:bookmarkEnd w:id="229"/>
    <w:bookmarkEnd w:id="230"/>
    <w:bookmarkEnd w:id="231"/>
    <w:bookmarkEnd w:id="232"/>
    <w:p w14:paraId="2161E60C">
      <w:pPr>
        <w:pStyle w:val="3"/>
        <w:spacing w:before="0" w:after="0" w:line="360" w:lineRule="auto"/>
        <w:jc w:val="center"/>
        <w:rPr>
          <w:rFonts w:ascii="宋体" w:hAnsi="宋体"/>
          <w:b/>
          <w:color w:val="auto"/>
          <w:sz w:val="28"/>
          <w:szCs w:val="22"/>
          <w:highlight w:val="none"/>
        </w:rPr>
      </w:pPr>
      <w:bookmarkStart w:id="233" w:name="_Toc4010"/>
      <w:bookmarkStart w:id="234" w:name="_Toc25288"/>
      <w:bookmarkStart w:id="235" w:name="_Toc8000"/>
      <w:bookmarkStart w:id="236" w:name="_Toc1323"/>
      <w:r>
        <w:rPr>
          <w:rFonts w:hint="eastAsia" w:ascii="宋体" w:hAnsi="宋体"/>
          <w:b/>
          <w:color w:val="auto"/>
          <w:sz w:val="28"/>
          <w:szCs w:val="22"/>
          <w:highlight w:val="none"/>
        </w:rPr>
        <w:t>十、供应商反商业贿赂承诺书</w:t>
      </w:r>
      <w:bookmarkEnd w:id="233"/>
      <w:bookmarkEnd w:id="234"/>
      <w:bookmarkEnd w:id="235"/>
      <w:bookmarkEnd w:id="236"/>
    </w:p>
    <w:p w14:paraId="3522570F">
      <w:pPr>
        <w:spacing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rPr>
        <w:t>我公司承诺：</w:t>
      </w:r>
    </w:p>
    <w:p w14:paraId="6649AE76">
      <w:pPr>
        <w:spacing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rPr>
        <w:t>在政府采购（</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）投标活动中，我公司保证做到：</w:t>
      </w:r>
    </w:p>
    <w:p w14:paraId="6F28D747">
      <w:pPr>
        <w:numPr>
          <w:ilvl w:val="0"/>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公平竞争参加本次投标活动。</w:t>
      </w:r>
    </w:p>
    <w:p w14:paraId="4748E247">
      <w:pPr>
        <w:numPr>
          <w:ilvl w:val="0"/>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杜绝任何形式的商业贿赂行为。不向国家工作人员、政府采购代理机构工作人员、评审专家及其亲属提供礼金礼品、有价证券、购物券、回扣、佣金、咨询费、劳务费、赞助费、宣传费、宴请；不为其报销各种消费凭证，不支付其旅游、娱乐等费用。 </w:t>
      </w:r>
    </w:p>
    <w:p w14:paraId="4B8DB40F">
      <w:pPr>
        <w:numPr>
          <w:ilvl w:val="0"/>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若出现上述行为，我公司及参与投标的工作人员自愿接受按照国家法律、法规等有关规定给予的处罚。</w:t>
      </w:r>
    </w:p>
    <w:p w14:paraId="1ED7E9B2">
      <w:pPr>
        <w:spacing w:line="360" w:lineRule="auto"/>
        <w:ind w:left="420"/>
        <w:rPr>
          <w:rFonts w:ascii="宋体" w:hAnsi="宋体" w:cs="宋体"/>
          <w:b/>
          <w:color w:val="auto"/>
          <w:sz w:val="21"/>
          <w:szCs w:val="21"/>
          <w:highlight w:val="none"/>
        </w:rPr>
      </w:pPr>
    </w:p>
    <w:p w14:paraId="19B558F3">
      <w:pPr>
        <w:pStyle w:val="26"/>
        <w:shd w:val="clear" w:color="auto" w:fill="FFFFFF"/>
        <w:spacing w:before="0" w:beforeAutospacing="0" w:after="0" w:afterAutospacing="0" w:line="360" w:lineRule="atLeast"/>
        <w:ind w:firstLine="465"/>
        <w:rPr>
          <w:color w:val="auto"/>
          <w:sz w:val="21"/>
          <w:szCs w:val="21"/>
          <w:highlight w:val="none"/>
        </w:rPr>
      </w:pPr>
      <w:r>
        <w:rPr>
          <w:rFonts w:hint="eastAsia"/>
          <w:color w:val="auto"/>
          <w:sz w:val="21"/>
          <w:szCs w:val="21"/>
          <w:highlight w:val="none"/>
        </w:rPr>
        <w:t>供应商名称：</w:t>
      </w:r>
      <w:r>
        <w:rPr>
          <w:rFonts w:hint="eastAsia"/>
          <w:color w:val="auto"/>
          <w:sz w:val="21"/>
          <w:szCs w:val="21"/>
          <w:highlight w:val="none"/>
          <w:u w:val="single"/>
        </w:rPr>
        <w:t xml:space="preserve">                    </w:t>
      </w:r>
      <w:r>
        <w:rPr>
          <w:rFonts w:hint="eastAsia"/>
          <w:color w:val="auto"/>
          <w:sz w:val="21"/>
          <w:szCs w:val="21"/>
          <w:highlight w:val="none"/>
        </w:rPr>
        <w:t>（企业电子签章）</w:t>
      </w:r>
    </w:p>
    <w:p w14:paraId="298EA462">
      <w:pPr>
        <w:pStyle w:val="26"/>
        <w:shd w:val="clear" w:color="auto" w:fill="FFFFFF"/>
        <w:spacing w:before="0" w:beforeAutospacing="0" w:after="0" w:afterAutospacing="0" w:line="360" w:lineRule="atLeast"/>
        <w:ind w:firstLine="465"/>
        <w:rPr>
          <w:rFonts w:cs="宋体"/>
          <w:color w:val="auto"/>
          <w:kern w:val="2"/>
          <w:sz w:val="21"/>
          <w:szCs w:val="21"/>
          <w:highlight w:val="none"/>
        </w:rPr>
      </w:pPr>
      <w:r>
        <w:rPr>
          <w:rFonts w:hint="eastAsia" w:cs="宋体"/>
          <w:color w:val="auto"/>
          <w:kern w:val="2"/>
          <w:sz w:val="21"/>
          <w:szCs w:val="21"/>
          <w:highlight w:val="none"/>
        </w:rPr>
        <w:t>法定代表人：</w:t>
      </w:r>
      <w:r>
        <w:rPr>
          <w:rFonts w:hint="eastAsia" w:cs="宋体"/>
          <w:color w:val="auto"/>
          <w:kern w:val="2"/>
          <w:sz w:val="21"/>
          <w:szCs w:val="21"/>
          <w:highlight w:val="none"/>
          <w:u w:val="single"/>
        </w:rPr>
        <w:t>           </w:t>
      </w:r>
      <w:r>
        <w:rPr>
          <w:rFonts w:hint="eastAsia" w:cs="宋体"/>
          <w:color w:val="auto"/>
          <w:kern w:val="2"/>
          <w:sz w:val="21"/>
          <w:szCs w:val="21"/>
          <w:highlight w:val="none"/>
        </w:rPr>
        <w:t>（个人电子签章）</w:t>
      </w:r>
    </w:p>
    <w:p w14:paraId="096050EF">
      <w:pPr>
        <w:pStyle w:val="26"/>
        <w:shd w:val="clear" w:color="auto" w:fill="FFFFFF"/>
        <w:spacing w:before="0" w:beforeAutospacing="0" w:after="0" w:afterAutospacing="0"/>
        <w:ind w:firstLine="480"/>
        <w:jc w:val="both"/>
        <w:rPr>
          <w:rFonts w:cs="宋体"/>
          <w:color w:val="auto"/>
          <w:kern w:val="2"/>
          <w:sz w:val="21"/>
          <w:szCs w:val="21"/>
          <w:highlight w:val="none"/>
          <w:u w:val="single"/>
        </w:rPr>
      </w:pPr>
      <w:r>
        <w:rPr>
          <w:rFonts w:hint="eastAsia" w:cs="宋体"/>
          <w:color w:val="auto"/>
          <w:kern w:val="2"/>
          <w:sz w:val="21"/>
          <w:szCs w:val="21"/>
          <w:highlight w:val="none"/>
        </w:rPr>
        <w:t>日期：</w:t>
      </w:r>
      <w:r>
        <w:rPr>
          <w:rFonts w:hint="eastAsia" w:cs="宋体"/>
          <w:color w:val="auto"/>
          <w:kern w:val="2"/>
          <w:sz w:val="21"/>
          <w:szCs w:val="21"/>
          <w:highlight w:val="none"/>
          <w:u w:val="single"/>
        </w:rPr>
        <w:t>              </w:t>
      </w:r>
    </w:p>
    <w:p w14:paraId="3E249B4E">
      <w:pPr>
        <w:spacing w:line="360" w:lineRule="auto"/>
        <w:ind w:left="420"/>
        <w:rPr>
          <w:rFonts w:ascii="宋体" w:hAnsi="宋体"/>
          <w:color w:val="auto"/>
          <w:sz w:val="21"/>
          <w:szCs w:val="21"/>
          <w:highlight w:val="none"/>
        </w:rPr>
      </w:pPr>
    </w:p>
    <w:p w14:paraId="25B85BED">
      <w:pPr>
        <w:spacing w:line="360" w:lineRule="auto"/>
        <w:ind w:left="420"/>
        <w:rPr>
          <w:rFonts w:ascii="宋体" w:hAnsi="宋体" w:cs="宋体"/>
          <w:color w:val="auto"/>
          <w:sz w:val="21"/>
          <w:szCs w:val="21"/>
          <w:highlight w:val="none"/>
        </w:rPr>
      </w:pPr>
    </w:p>
    <w:p w14:paraId="620341DA">
      <w:pPr>
        <w:widowControl/>
        <w:jc w:val="left"/>
        <w:rPr>
          <w:color w:val="auto"/>
          <w:sz w:val="21"/>
          <w:szCs w:val="21"/>
          <w:highlight w:val="none"/>
        </w:rPr>
      </w:pPr>
      <w:r>
        <w:rPr>
          <w:rFonts w:hint="eastAsia" w:ascii="宋体" w:hAnsi="宋体"/>
          <w:b/>
          <w:color w:val="auto"/>
          <w:sz w:val="21"/>
          <w:szCs w:val="21"/>
          <w:highlight w:val="none"/>
        </w:rPr>
        <w:t>*注：各供应商无此承诺书者，按无效投标处理。</w:t>
      </w:r>
    </w:p>
    <w:p w14:paraId="00A1D483">
      <w:pPr>
        <w:spacing w:line="360" w:lineRule="auto"/>
        <w:ind w:firstLine="4200" w:firstLineChars="2000"/>
        <w:rPr>
          <w:rFonts w:ascii="宋体" w:hAnsi="宋体" w:cs="宋体"/>
          <w:color w:val="auto"/>
          <w:sz w:val="24"/>
          <w:szCs w:val="24"/>
          <w:highlight w:val="none"/>
        </w:rPr>
      </w:pPr>
      <w:r>
        <w:rPr>
          <w:rFonts w:hint="eastAsia"/>
          <w:color w:val="auto"/>
          <w:highlight w:val="none"/>
        </w:rPr>
        <w:br w:type="page"/>
      </w:r>
    </w:p>
    <w:p w14:paraId="5F54118B">
      <w:pPr>
        <w:widowControl/>
        <w:jc w:val="center"/>
        <w:outlineLvl w:val="1"/>
        <w:rPr>
          <w:rFonts w:hint="eastAsia" w:ascii="宋体" w:hAnsi="宋体" w:cs="宋体"/>
          <w:b/>
          <w:bCs/>
          <w:color w:val="auto"/>
          <w:sz w:val="30"/>
          <w:szCs w:val="30"/>
          <w:highlight w:val="none"/>
          <w:lang w:eastAsia="zh-CN"/>
        </w:rPr>
      </w:pPr>
      <w:bookmarkStart w:id="237" w:name="_Toc13587"/>
      <w:bookmarkStart w:id="238" w:name="_Toc24267"/>
      <w:bookmarkStart w:id="239" w:name="_Toc27898"/>
      <w:r>
        <w:rPr>
          <w:rFonts w:hint="eastAsia" w:ascii="宋体" w:hAnsi="宋体" w:cs="宋体"/>
          <w:b/>
          <w:bCs/>
          <w:color w:val="auto"/>
          <w:sz w:val="30"/>
          <w:szCs w:val="30"/>
          <w:highlight w:val="none"/>
          <w:lang w:eastAsia="zh-CN"/>
        </w:rPr>
        <w:t>十一、</w:t>
      </w:r>
      <w:r>
        <w:rPr>
          <w:rFonts w:hint="eastAsia" w:ascii="宋体" w:hAnsi="宋体" w:cs="宋体"/>
          <w:b/>
          <w:color w:val="auto"/>
          <w:sz w:val="32"/>
          <w:highlight w:val="none"/>
        </w:rPr>
        <w:t>享</w:t>
      </w:r>
      <w:r>
        <w:rPr>
          <w:rFonts w:hint="eastAsia" w:ascii="宋体" w:hAnsi="宋体" w:cs="宋体"/>
          <w:b/>
          <w:color w:val="auto"/>
          <w:kern w:val="0"/>
          <w:sz w:val="32"/>
          <w:szCs w:val="22"/>
          <w:highlight w:val="none"/>
        </w:rPr>
        <w:t>受政府采购政策扶持的证明材料</w:t>
      </w:r>
    </w:p>
    <w:bookmarkEnd w:id="237"/>
    <w:bookmarkEnd w:id="238"/>
    <w:bookmarkEnd w:id="239"/>
    <w:p w14:paraId="747EDDD8">
      <w:pPr>
        <w:pStyle w:val="3"/>
        <w:numPr>
          <w:ilvl w:val="0"/>
          <w:numId w:val="0"/>
        </w:numPr>
        <w:spacing w:before="0" w:after="0" w:line="360" w:lineRule="auto"/>
        <w:ind w:left="210" w:leftChars="0"/>
        <w:jc w:val="center"/>
        <w:rPr>
          <w:rFonts w:hint="eastAsia" w:ascii="宋体" w:hAnsi="宋体" w:eastAsia="宋体" w:cs="宋体"/>
          <w:b w:val="0"/>
          <w:spacing w:val="-18"/>
          <w:kern w:val="0"/>
          <w:sz w:val="24"/>
          <w:szCs w:val="24"/>
          <w:highlight w:val="none"/>
          <w:lang w:val="en-US" w:eastAsia="zh-CN" w:bidi="ar-SA"/>
        </w:rPr>
      </w:pPr>
      <w:bookmarkStart w:id="240" w:name="_Toc17365"/>
      <w:bookmarkStart w:id="241" w:name="_Toc14176"/>
      <w:bookmarkStart w:id="242" w:name="_Toc31762"/>
      <w:bookmarkStart w:id="243" w:name="_Toc24326"/>
      <w:bookmarkStart w:id="244" w:name="_Toc3533"/>
      <w:bookmarkStart w:id="245" w:name="OLE_LINK14"/>
      <w:bookmarkStart w:id="246" w:name="OLE_LINK13"/>
      <w:r>
        <w:rPr>
          <w:rFonts w:hint="eastAsia" w:ascii="宋体" w:hAnsi="宋体" w:eastAsia="宋体" w:cs="宋体"/>
          <w:b w:val="0"/>
          <w:spacing w:val="-18"/>
          <w:kern w:val="0"/>
          <w:sz w:val="24"/>
          <w:szCs w:val="24"/>
          <w:highlight w:val="none"/>
          <w:lang w:val="en-US" w:eastAsia="zh-CN" w:bidi="ar-SA"/>
        </w:rPr>
        <w:t>1、中小企业声明函（服务）</w:t>
      </w:r>
      <w:bookmarkEnd w:id="240"/>
      <w:bookmarkEnd w:id="241"/>
      <w:bookmarkEnd w:id="242"/>
      <w:bookmarkEnd w:id="243"/>
      <w:bookmarkEnd w:id="244"/>
    </w:p>
    <w:p w14:paraId="13E4FBF5">
      <w:pPr>
        <w:pStyle w:val="10"/>
        <w:autoSpaceDE w:val="0"/>
        <w:autoSpaceDN w:val="0"/>
        <w:spacing w:line="360" w:lineRule="auto"/>
        <w:ind w:firstLine="472" w:firstLineChars="20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本公司</w:t>
      </w:r>
      <w:r>
        <w:rPr>
          <w:rFonts w:hint="eastAsia" w:ascii="宋体" w:hAnsi="宋体" w:eastAsia="宋体" w:cs="宋体"/>
          <w:sz w:val="24"/>
          <w:szCs w:val="24"/>
          <w:highlight w:val="none"/>
        </w:rPr>
        <w:t>（联合体</w:t>
      </w:r>
      <w:r>
        <w:rPr>
          <w:rFonts w:hint="eastAsia" w:ascii="宋体" w:hAnsi="宋体" w:eastAsia="宋体" w:cs="宋体"/>
          <w:spacing w:val="-5"/>
          <w:sz w:val="24"/>
          <w:szCs w:val="24"/>
          <w:highlight w:val="none"/>
        </w:rPr>
        <w:t>）</w:t>
      </w:r>
      <w:r>
        <w:rPr>
          <w:rFonts w:hint="eastAsia" w:ascii="宋体" w:hAnsi="宋体" w:eastAsia="宋体" w:cs="宋体"/>
          <w:spacing w:val="-2"/>
          <w:sz w:val="24"/>
          <w:szCs w:val="24"/>
          <w:highlight w:val="none"/>
        </w:rPr>
        <w:t>郑重声明，根据《政府采购促进中小</w:t>
      </w:r>
      <w:r>
        <w:rPr>
          <w:rFonts w:hint="eastAsia" w:ascii="宋体" w:hAnsi="宋体" w:eastAsia="宋体" w:cs="宋体"/>
          <w:spacing w:val="-18"/>
          <w:sz w:val="24"/>
          <w:szCs w:val="24"/>
          <w:highlight w:val="none"/>
        </w:rPr>
        <w:t>企业发展管理办法》</w:t>
      </w:r>
      <w:r>
        <w:rPr>
          <w:rFonts w:hint="eastAsia" w:ascii="宋体" w:hAnsi="宋体" w:eastAsia="宋体" w:cs="宋体"/>
          <w:sz w:val="24"/>
          <w:szCs w:val="24"/>
          <w:highlight w:val="none"/>
        </w:rPr>
        <w:t>（</w:t>
      </w:r>
      <w:r>
        <w:rPr>
          <w:rFonts w:hint="eastAsia" w:ascii="宋体" w:hAnsi="宋体" w:eastAsia="宋体" w:cs="宋体"/>
          <w:spacing w:val="5"/>
          <w:sz w:val="24"/>
          <w:szCs w:val="24"/>
          <w:highlight w:val="none"/>
        </w:rPr>
        <w:t>财库</w:t>
      </w:r>
      <w:r>
        <w:rPr>
          <w:rFonts w:hint="eastAsia" w:ascii="宋体" w:hAnsi="宋体" w:eastAsia="宋体" w:cs="宋体"/>
          <w:sz w:val="24"/>
          <w:szCs w:val="24"/>
          <w:highlight w:val="none"/>
        </w:rPr>
        <w:t>﹝2020﹞46</w:t>
      </w:r>
      <w:r>
        <w:rPr>
          <w:rFonts w:hint="eastAsia" w:ascii="宋体" w:hAnsi="宋体" w:eastAsia="宋体" w:cs="宋体"/>
          <w:spacing w:val="-38"/>
          <w:sz w:val="24"/>
          <w:szCs w:val="24"/>
          <w:highlight w:val="none"/>
        </w:rPr>
        <w:t>号</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的规定，本公司（联合体）</w:t>
      </w:r>
      <w:r>
        <w:rPr>
          <w:rFonts w:hint="eastAsia" w:ascii="宋体" w:hAnsi="宋体" w:eastAsia="宋体" w:cs="宋体"/>
          <w:spacing w:val="-8"/>
          <w:sz w:val="24"/>
          <w:szCs w:val="24"/>
          <w:highlight w:val="none"/>
        </w:rPr>
        <w:t>参加</w:t>
      </w:r>
      <w:r>
        <w:rPr>
          <w:rFonts w:hint="eastAsia" w:ascii="宋体" w:hAnsi="宋体" w:eastAsia="宋体" w:cs="宋体"/>
          <w:sz w:val="24"/>
          <w:szCs w:val="24"/>
          <w:highlight w:val="none"/>
          <w:u w:val="single"/>
          <w:lang w:val="zh-CN" w:bidi="zh-CN"/>
        </w:rPr>
        <w:t>（单位名称）</w:t>
      </w:r>
      <w:r>
        <w:rPr>
          <w:rFonts w:hint="eastAsia" w:ascii="宋体" w:hAnsi="宋体" w:eastAsia="宋体" w:cs="宋体"/>
          <w:spacing w:val="-15"/>
          <w:sz w:val="24"/>
          <w:szCs w:val="24"/>
          <w:highlight w:val="none"/>
        </w:rPr>
        <w:t>的</w:t>
      </w:r>
      <w:r>
        <w:rPr>
          <w:rFonts w:hint="eastAsia" w:ascii="宋体" w:hAnsi="宋体" w:eastAsia="宋体" w:cs="宋体"/>
          <w:sz w:val="24"/>
          <w:szCs w:val="24"/>
          <w:highlight w:val="none"/>
          <w:u w:val="single"/>
          <w:lang w:val="zh-CN" w:bidi="zh-CN"/>
        </w:rPr>
        <w:t>（项目名称）</w:t>
      </w:r>
      <w:r>
        <w:rPr>
          <w:rFonts w:hint="eastAsia" w:ascii="宋体" w:hAnsi="宋体" w:eastAsia="宋体" w:cs="宋体"/>
          <w:spacing w:val="-1"/>
          <w:sz w:val="24"/>
          <w:szCs w:val="24"/>
          <w:highlight w:val="none"/>
        </w:rPr>
        <w:t>采购活动，</w:t>
      </w:r>
      <w:r>
        <w:rPr>
          <w:rFonts w:hint="eastAsia" w:ascii="宋体" w:hAnsi="宋体" w:eastAsia="宋体" w:cs="宋体"/>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14:paraId="453404F5">
      <w:pPr>
        <w:pStyle w:val="52"/>
        <w:tabs>
          <w:tab w:val="left" w:pos="1243"/>
        </w:tabs>
        <w:autoSpaceDE w:val="0"/>
        <w:autoSpaceDN w:val="0"/>
        <w:spacing w:line="360" w:lineRule="auto"/>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u w:val="single"/>
          <w:lang w:val="zh-CN" w:bidi="zh-CN"/>
        </w:rPr>
        <w:t>（标的名称）</w:t>
      </w:r>
      <w:r>
        <w:rPr>
          <w:rFonts w:hint="eastAsia" w:ascii="宋体" w:hAnsi="宋体" w:eastAsia="宋体" w:cs="宋体"/>
          <w:spacing w:val="-60"/>
          <w:w w:val="99"/>
          <w:sz w:val="24"/>
          <w:szCs w:val="24"/>
          <w:highlight w:val="none"/>
        </w:rPr>
        <w:t>，</w:t>
      </w:r>
      <w:r>
        <w:rPr>
          <w:rFonts w:hint="eastAsia" w:ascii="宋体" w:hAnsi="宋体" w:eastAsia="宋体" w:cs="宋体"/>
          <w:sz w:val="24"/>
          <w:szCs w:val="24"/>
          <w:highlight w:val="none"/>
          <w:lang w:val="zh-CN" w:bidi="zh-CN"/>
        </w:rPr>
        <w:t>属于</w:t>
      </w:r>
      <w:r>
        <w:rPr>
          <w:rFonts w:hint="eastAsia" w:ascii="宋体" w:hAnsi="宋体" w:eastAsia="宋体" w:cs="宋体"/>
          <w:sz w:val="24"/>
          <w:szCs w:val="24"/>
          <w:highlight w:val="none"/>
          <w:u w:val="single"/>
          <w:lang w:val="zh-CN" w:bidi="zh-CN"/>
        </w:rPr>
        <w:t>（采购文件中明确的所属行业）</w:t>
      </w:r>
      <w:r>
        <w:rPr>
          <w:rFonts w:hint="eastAsia" w:ascii="宋体" w:hAnsi="宋体" w:eastAsia="宋体" w:cs="宋体"/>
          <w:sz w:val="24"/>
          <w:szCs w:val="24"/>
          <w:highlight w:val="none"/>
          <w:lang w:val="zh-CN" w:bidi="zh-CN"/>
        </w:rPr>
        <w:t>；承建（承接）企业为</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u w:val="single"/>
          <w:lang w:val="zh-CN" w:bidi="zh-CN"/>
        </w:rPr>
        <w:t>（企业名称）</w:t>
      </w:r>
      <w:r>
        <w:rPr>
          <w:rFonts w:hint="eastAsia" w:ascii="宋体" w:hAnsi="宋体" w:eastAsia="宋体" w:cs="宋体"/>
          <w:sz w:val="24"/>
          <w:szCs w:val="24"/>
          <w:highlight w:val="none"/>
          <w:lang w:val="zh-CN" w:bidi="zh-CN"/>
        </w:rPr>
        <w:t>，从业人员</w:t>
      </w:r>
      <w:r>
        <w:rPr>
          <w:rFonts w:hint="eastAsia" w:ascii="宋体" w:hAnsi="宋体" w:eastAsia="宋体" w:cs="宋体"/>
          <w:w w:val="99"/>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bidi="zh-CN"/>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bidi="zh-CN"/>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val="zh-CN" w:bidi="zh-CN"/>
        </w:rPr>
        <w:t>，属于</w:t>
      </w:r>
      <w:r>
        <w:rPr>
          <w:rFonts w:hint="eastAsia" w:ascii="宋体" w:hAnsi="宋体" w:eastAsia="宋体" w:cs="宋体"/>
          <w:sz w:val="24"/>
          <w:szCs w:val="24"/>
          <w:highlight w:val="none"/>
          <w:u w:val="single"/>
          <w:lang w:val="zh-CN" w:bidi="zh-CN"/>
        </w:rPr>
        <w:t>（中型企业、小型企业、微型企业）</w:t>
      </w:r>
      <w:r>
        <w:rPr>
          <w:rFonts w:hint="eastAsia" w:ascii="宋体" w:hAnsi="宋体" w:eastAsia="宋体" w:cs="宋体"/>
          <w:sz w:val="24"/>
          <w:szCs w:val="24"/>
          <w:highlight w:val="none"/>
          <w:lang w:val="zh-CN" w:bidi="zh-CN"/>
        </w:rPr>
        <w:t>；</w:t>
      </w:r>
    </w:p>
    <w:p w14:paraId="25356FA1">
      <w:pPr>
        <w:pStyle w:val="52"/>
        <w:tabs>
          <w:tab w:val="left" w:pos="1243"/>
        </w:tabs>
        <w:autoSpaceDE w:val="0"/>
        <w:autoSpaceDN w:val="0"/>
        <w:spacing w:line="360" w:lineRule="auto"/>
        <w:rPr>
          <w:rFonts w:hint="default" w:ascii="宋体" w:hAnsi="宋体" w:eastAsia="宋体" w:cs="宋体"/>
          <w:sz w:val="24"/>
          <w:szCs w:val="24"/>
          <w:highlight w:val="none"/>
          <w:lang w:val="en-US" w:bidi="zh-CN"/>
        </w:rPr>
      </w:pPr>
      <w:r>
        <w:rPr>
          <w:rFonts w:hint="eastAsia" w:ascii="宋体" w:hAnsi="宋体" w:eastAsia="宋体" w:cs="宋体"/>
          <w:sz w:val="24"/>
          <w:szCs w:val="24"/>
          <w:highlight w:val="none"/>
          <w:lang w:val="en-US" w:bidi="zh-CN"/>
        </w:rPr>
        <w:t>......</w:t>
      </w:r>
    </w:p>
    <w:p w14:paraId="70AF88B6">
      <w:pPr>
        <w:pStyle w:val="10"/>
        <w:autoSpaceDE w:val="0"/>
        <w:autoSpaceDN w:val="0"/>
        <w:spacing w:line="360" w:lineRule="auto"/>
        <w:ind w:firstLine="468" w:firstLineChars="200"/>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以上企业，不属于大企业的分支机构，不存在控股股东</w:t>
      </w:r>
      <w:r>
        <w:rPr>
          <w:rFonts w:hint="eastAsia" w:ascii="宋体" w:hAnsi="宋体" w:eastAsia="宋体" w:cs="宋体"/>
          <w:spacing w:val="-5"/>
          <w:sz w:val="24"/>
          <w:szCs w:val="24"/>
          <w:highlight w:val="none"/>
        </w:rPr>
        <w:t>为大企业的情形，也不存在与大企业的负责人为同一人的情形。</w:t>
      </w:r>
    </w:p>
    <w:p w14:paraId="21CFBC42">
      <w:pPr>
        <w:pStyle w:val="10"/>
        <w:autoSpaceDE w:val="0"/>
        <w:autoSpaceDN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6F0363F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企业名称（盖章）： </w:t>
      </w:r>
    </w:p>
    <w:p w14:paraId="099110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6194CD34">
      <w:pPr>
        <w:pStyle w:val="10"/>
        <w:keepNext w:val="0"/>
        <w:keepLines w:val="0"/>
        <w:pageBreakBefore w:val="0"/>
        <w:widowControl w:val="0"/>
        <w:kinsoku/>
        <w:wordWrap/>
        <w:overflowPunct/>
        <w:topLinePunct w:val="0"/>
        <w:autoSpaceDE w:val="0"/>
        <w:autoSpaceDN w:val="0"/>
        <w:bidi w:val="0"/>
        <w:adjustRightInd/>
        <w:snapToGrid/>
        <w:spacing w:after="0" w:line="120" w:lineRule="atLeas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106DB075">
      <w:pPr>
        <w:pStyle w:val="10"/>
        <w:keepNext w:val="0"/>
        <w:keepLines w:val="0"/>
        <w:pageBreakBefore w:val="0"/>
        <w:widowControl w:val="0"/>
        <w:kinsoku/>
        <w:wordWrap/>
        <w:overflowPunct/>
        <w:topLinePunct w:val="0"/>
        <w:autoSpaceDE w:val="0"/>
        <w:autoSpaceDN w:val="0"/>
        <w:bidi w:val="0"/>
        <w:adjustRightInd/>
        <w:snapToGrid/>
        <w:spacing w:after="0" w:line="120" w:lineRule="atLeas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4A3EEEFB">
      <w:pPr>
        <w:pStyle w:val="10"/>
        <w:keepNext w:val="0"/>
        <w:keepLines w:val="0"/>
        <w:pageBreakBefore w:val="0"/>
        <w:widowControl w:val="0"/>
        <w:kinsoku/>
        <w:wordWrap/>
        <w:overflowPunct/>
        <w:topLinePunct w:val="0"/>
        <w:autoSpaceDE w:val="0"/>
        <w:autoSpaceDN w:val="0"/>
        <w:bidi w:val="0"/>
        <w:adjustRightInd/>
        <w:snapToGrid/>
        <w:spacing w:after="0" w:line="120" w:lineRule="atLeas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2.填写前请认真阅读《关于印发中小企业划型标准规定的通知》（工信部联企业[2011]300 号）和《关于 印发＜政府采购促进中小企业发展管理办法＞的通知》(财库﹝2020﹞46号)相关规定。</w:t>
      </w:r>
    </w:p>
    <w:p w14:paraId="071A7531">
      <w:pPr>
        <w:pStyle w:val="10"/>
        <w:keepNext w:val="0"/>
        <w:keepLines w:val="0"/>
        <w:pageBreakBefore w:val="0"/>
        <w:widowControl w:val="0"/>
        <w:kinsoku/>
        <w:wordWrap/>
        <w:overflowPunct/>
        <w:topLinePunct w:val="0"/>
        <w:autoSpaceDE w:val="0"/>
        <w:autoSpaceDN w:val="0"/>
        <w:bidi w:val="0"/>
        <w:adjustRightInd/>
        <w:snapToGrid/>
        <w:spacing w:after="0" w:line="120" w:lineRule="atLeast"/>
        <w:ind w:firstLine="480" w:firstLineChars="200"/>
        <w:jc w:val="left"/>
        <w:textAlignment w:val="auto"/>
        <w:rPr>
          <w:color w:val="auto"/>
          <w:sz w:val="24"/>
          <w:highlight w:val="none"/>
        </w:rPr>
      </w:pPr>
      <w:r>
        <w:rPr>
          <w:rFonts w:hint="eastAsia" w:ascii="宋体" w:hAnsi="宋体" w:eastAsia="宋体" w:cs="宋体"/>
          <w:sz w:val="24"/>
          <w:szCs w:val="24"/>
          <w:highlight w:val="none"/>
        </w:rPr>
        <w:t>3.未按上述要求提供、填写的，评审时不予以考虑。</w:t>
      </w:r>
      <w:r>
        <w:rPr>
          <w:rFonts w:hint="eastAsia"/>
          <w:color w:val="auto"/>
          <w:sz w:val="24"/>
          <w:highlight w:val="none"/>
        </w:rPr>
        <w:br w:type="page"/>
      </w:r>
      <w:r>
        <w:rPr>
          <w:rFonts w:hint="eastAsia" w:ascii="宋体" w:hAnsi="宋体"/>
          <w:b/>
          <w:color w:val="auto"/>
          <w:sz w:val="28"/>
          <w:szCs w:val="22"/>
          <w:highlight w:val="none"/>
          <w:lang w:eastAsia="zh-CN"/>
        </w:rPr>
        <w:t>（</w:t>
      </w:r>
      <w:r>
        <w:rPr>
          <w:rFonts w:hint="eastAsia" w:ascii="宋体" w:hAnsi="宋体"/>
          <w:b/>
          <w:color w:val="auto"/>
          <w:sz w:val="28"/>
          <w:szCs w:val="22"/>
          <w:highlight w:val="none"/>
          <w:lang w:val="en-US" w:eastAsia="zh-CN"/>
        </w:rPr>
        <w:t>2</w:t>
      </w:r>
      <w:r>
        <w:rPr>
          <w:rFonts w:hint="eastAsia" w:ascii="宋体" w:hAnsi="宋体"/>
          <w:b/>
          <w:color w:val="auto"/>
          <w:sz w:val="28"/>
          <w:szCs w:val="22"/>
          <w:highlight w:val="none"/>
          <w:lang w:eastAsia="zh-CN"/>
        </w:rPr>
        <w:t>）</w:t>
      </w:r>
      <w:r>
        <w:rPr>
          <w:rFonts w:hint="eastAsia" w:ascii="宋体" w:hAnsi="宋体"/>
          <w:b/>
          <w:color w:val="auto"/>
          <w:sz w:val="28"/>
          <w:szCs w:val="22"/>
          <w:highlight w:val="none"/>
        </w:rPr>
        <w:t>残疾人福利性单位声明函</w:t>
      </w:r>
      <w:bookmarkEnd w:id="245"/>
      <w:bookmarkEnd w:id="246"/>
    </w:p>
    <w:p w14:paraId="44E7E812">
      <w:pPr>
        <w:spacing w:line="52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169972">
      <w:pPr>
        <w:spacing w:line="52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14:paraId="58337641">
      <w:pPr>
        <w:spacing w:line="540" w:lineRule="exact"/>
        <w:ind w:firstLine="315" w:firstLineChars="150"/>
        <w:rPr>
          <w:rFonts w:ascii="宋体" w:hAnsi="宋体"/>
          <w:color w:val="auto"/>
          <w:sz w:val="21"/>
          <w:szCs w:val="21"/>
          <w:highlight w:val="none"/>
        </w:rPr>
      </w:pPr>
      <w:r>
        <w:rPr>
          <w:rFonts w:hint="eastAsia" w:ascii="宋体" w:hAnsi="宋体"/>
          <w:color w:val="auto"/>
          <w:sz w:val="21"/>
          <w:szCs w:val="21"/>
          <w:highlight w:val="none"/>
        </w:rPr>
        <w:t xml:space="preserve">                                       </w:t>
      </w:r>
    </w:p>
    <w:p w14:paraId="311427ED">
      <w:pPr>
        <w:spacing w:line="540" w:lineRule="exact"/>
        <w:ind w:firstLine="4515" w:firstLineChars="2150"/>
        <w:rPr>
          <w:rFonts w:ascii="宋体" w:hAnsi="宋体"/>
          <w:color w:val="auto"/>
          <w:sz w:val="21"/>
          <w:szCs w:val="21"/>
          <w:highlight w:val="none"/>
        </w:rPr>
      </w:pPr>
      <w:r>
        <w:rPr>
          <w:rFonts w:hint="eastAsia" w:ascii="宋体" w:hAnsi="宋体"/>
          <w:color w:val="auto"/>
          <w:sz w:val="21"/>
          <w:szCs w:val="21"/>
          <w:highlight w:val="none"/>
        </w:rPr>
        <w:t xml:space="preserve"> 单位名称（</w:t>
      </w:r>
      <w:r>
        <w:rPr>
          <w:rFonts w:hint="eastAsia" w:ascii="宋体" w:hAnsi="宋体"/>
          <w:color w:val="auto"/>
          <w:sz w:val="21"/>
          <w:szCs w:val="21"/>
          <w:highlight w:val="none"/>
          <w:lang w:eastAsia="zh-CN"/>
        </w:rPr>
        <w:t>企业电子签章</w:t>
      </w:r>
      <w:r>
        <w:rPr>
          <w:rFonts w:hint="eastAsia" w:ascii="宋体" w:hAnsi="宋体"/>
          <w:color w:val="auto"/>
          <w:sz w:val="21"/>
          <w:szCs w:val="21"/>
          <w:highlight w:val="none"/>
        </w:rPr>
        <w:t>）：</w:t>
      </w:r>
    </w:p>
    <w:p w14:paraId="0443C10D">
      <w:pPr>
        <w:spacing w:line="540" w:lineRule="exact"/>
        <w:ind w:firstLine="315" w:firstLineChars="150"/>
        <w:rPr>
          <w:rFonts w:ascii="宋体" w:hAnsi="宋体"/>
          <w:color w:val="auto"/>
          <w:sz w:val="21"/>
          <w:szCs w:val="21"/>
          <w:highlight w:val="none"/>
        </w:rPr>
      </w:pPr>
      <w:r>
        <w:rPr>
          <w:rFonts w:hint="eastAsia" w:ascii="宋体" w:hAnsi="宋体"/>
          <w:color w:val="auto"/>
          <w:sz w:val="21"/>
          <w:szCs w:val="21"/>
          <w:highlight w:val="none"/>
        </w:rPr>
        <w:t xml:space="preserve">                                         日  期：</w:t>
      </w:r>
    </w:p>
    <w:p w14:paraId="02777A73">
      <w:pPr>
        <w:spacing w:line="540" w:lineRule="exact"/>
        <w:ind w:firstLine="420" w:firstLineChars="200"/>
        <w:rPr>
          <w:rFonts w:ascii="宋体" w:hAnsi="宋体"/>
          <w:color w:val="auto"/>
          <w:sz w:val="21"/>
          <w:szCs w:val="21"/>
          <w:highlight w:val="none"/>
        </w:rPr>
      </w:pPr>
    </w:p>
    <w:p w14:paraId="4FBB788B">
      <w:pPr>
        <w:spacing w:line="54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注：该声明函是针对残疾人福利性单位的，若本单位非残疾人福利性单位投标时不用提供该声明。</w:t>
      </w:r>
    </w:p>
    <w:p w14:paraId="08E7A389">
      <w:pPr>
        <w:pStyle w:val="13"/>
        <w:ind w:left="880" w:hanging="460"/>
        <w:rPr>
          <w:rFonts w:ascii="宋体" w:hAnsi="宋体"/>
          <w:color w:val="auto"/>
          <w:sz w:val="21"/>
          <w:szCs w:val="21"/>
          <w:highlight w:val="none"/>
        </w:rPr>
      </w:pPr>
    </w:p>
    <w:p w14:paraId="5D57668F">
      <w:pPr>
        <w:pStyle w:val="13"/>
        <w:ind w:left="880" w:hanging="460"/>
        <w:rPr>
          <w:rFonts w:ascii="宋体" w:hAnsi="宋体"/>
          <w:color w:val="auto"/>
          <w:sz w:val="23"/>
          <w:szCs w:val="23"/>
          <w:highlight w:val="none"/>
        </w:rPr>
      </w:pPr>
    </w:p>
    <w:p w14:paraId="23094134">
      <w:pPr>
        <w:pStyle w:val="13"/>
        <w:ind w:left="880" w:hanging="460"/>
        <w:rPr>
          <w:rFonts w:ascii="宋体" w:hAnsi="宋体"/>
          <w:color w:val="auto"/>
          <w:sz w:val="23"/>
          <w:szCs w:val="23"/>
          <w:highlight w:val="none"/>
        </w:rPr>
      </w:pPr>
    </w:p>
    <w:p w14:paraId="1811DD23">
      <w:pPr>
        <w:pStyle w:val="13"/>
        <w:ind w:left="880" w:hanging="460"/>
        <w:rPr>
          <w:rFonts w:ascii="宋体" w:hAnsi="宋体"/>
          <w:color w:val="auto"/>
          <w:sz w:val="23"/>
          <w:szCs w:val="23"/>
          <w:highlight w:val="none"/>
        </w:rPr>
      </w:pPr>
    </w:p>
    <w:p w14:paraId="4FC83DA1">
      <w:pPr>
        <w:pStyle w:val="13"/>
        <w:ind w:left="880" w:hanging="460"/>
        <w:rPr>
          <w:rFonts w:ascii="宋体" w:hAnsi="宋体"/>
          <w:color w:val="auto"/>
          <w:sz w:val="23"/>
          <w:szCs w:val="23"/>
          <w:highlight w:val="none"/>
        </w:rPr>
      </w:pPr>
    </w:p>
    <w:p w14:paraId="79347150">
      <w:pPr>
        <w:pStyle w:val="13"/>
        <w:ind w:left="880" w:hanging="460"/>
        <w:rPr>
          <w:rFonts w:ascii="宋体" w:hAnsi="宋体"/>
          <w:color w:val="auto"/>
          <w:sz w:val="23"/>
          <w:szCs w:val="23"/>
          <w:highlight w:val="none"/>
        </w:rPr>
      </w:pPr>
    </w:p>
    <w:p w14:paraId="2C135848">
      <w:pPr>
        <w:rPr>
          <w:rFonts w:hint="eastAsia" w:ascii="宋体" w:hAnsi="宋体" w:eastAsia="宋体" w:cs="Times New Roman"/>
          <w:b/>
          <w:color w:val="auto"/>
          <w:kern w:val="2"/>
          <w:sz w:val="28"/>
          <w:szCs w:val="22"/>
          <w:highlight w:val="none"/>
          <w:lang w:val="en-US" w:eastAsia="zh-CN" w:bidi="ar-SA"/>
        </w:rPr>
      </w:pPr>
      <w:bookmarkStart w:id="247" w:name="_Toc9962"/>
      <w:bookmarkStart w:id="248" w:name="_Toc16033"/>
      <w:r>
        <w:rPr>
          <w:rFonts w:hint="eastAsia" w:ascii="宋体" w:hAnsi="宋体" w:eastAsia="宋体" w:cs="Times New Roman"/>
          <w:b/>
          <w:color w:val="auto"/>
          <w:kern w:val="2"/>
          <w:sz w:val="28"/>
          <w:szCs w:val="22"/>
          <w:highlight w:val="none"/>
          <w:lang w:val="en-US" w:eastAsia="zh-CN" w:bidi="ar-SA"/>
        </w:rPr>
        <w:br w:type="page"/>
      </w:r>
    </w:p>
    <w:p w14:paraId="19DED2B0">
      <w:pPr>
        <w:widowControl/>
        <w:spacing w:line="360" w:lineRule="auto"/>
        <w:jc w:val="center"/>
        <w:outlineLvl w:val="1"/>
        <w:rPr>
          <w:rFonts w:hint="eastAsia" w:ascii="宋体" w:hAnsi="宋体" w:eastAsia="宋体" w:cs="Times New Roman"/>
          <w:b/>
          <w:color w:val="auto"/>
          <w:kern w:val="2"/>
          <w:sz w:val="28"/>
          <w:szCs w:val="22"/>
          <w:highlight w:val="none"/>
          <w:lang w:val="en-US" w:eastAsia="zh-CN" w:bidi="ar-SA"/>
        </w:rPr>
      </w:pPr>
      <w:r>
        <w:rPr>
          <w:rFonts w:hint="eastAsia" w:ascii="宋体" w:hAnsi="宋体" w:eastAsia="宋体" w:cs="Times New Roman"/>
          <w:b/>
          <w:color w:val="auto"/>
          <w:kern w:val="2"/>
          <w:sz w:val="28"/>
          <w:szCs w:val="22"/>
          <w:highlight w:val="none"/>
          <w:lang w:val="en-US" w:eastAsia="zh-CN" w:bidi="ar-SA"/>
        </w:rPr>
        <w:t>（3）监狱企业证明文件</w:t>
      </w:r>
      <w:bookmarkEnd w:id="247"/>
      <w:bookmarkEnd w:id="248"/>
    </w:p>
    <w:p w14:paraId="600DB35F">
      <w:pPr>
        <w:widowControl/>
        <w:jc w:val="center"/>
        <w:outlineLvl w:val="1"/>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（属于监狱企业的单位的填写，不属于的无需填写此项内容）</w:t>
      </w:r>
    </w:p>
    <w:p w14:paraId="54A4941C">
      <w:pPr>
        <w:widowControl/>
        <w:spacing w:line="360" w:lineRule="auto"/>
        <w:jc w:val="center"/>
        <w:rPr>
          <w:rFonts w:ascii="宋体" w:hAnsi="宋体" w:eastAsia="宋体"/>
          <w:color w:val="auto"/>
          <w:sz w:val="21"/>
          <w:szCs w:val="21"/>
          <w:highlight w:val="none"/>
          <w:lang w:eastAsia="zh-CN"/>
        </w:rPr>
      </w:pPr>
    </w:p>
    <w:p w14:paraId="23E8A2FD">
      <w:pPr>
        <w:widowControl/>
        <w:spacing w:line="360" w:lineRule="auto"/>
        <w:jc w:val="center"/>
        <w:rPr>
          <w:rFonts w:ascii="宋体" w:hAnsi="宋体" w:eastAsia="宋体"/>
          <w:color w:val="auto"/>
          <w:sz w:val="21"/>
          <w:szCs w:val="21"/>
          <w:highlight w:val="none"/>
          <w:lang w:eastAsia="zh-CN"/>
        </w:rPr>
      </w:pPr>
    </w:p>
    <w:p w14:paraId="7EA9C55F">
      <w:pPr>
        <w:widowControl/>
        <w:spacing w:line="48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省级以上监狱管理局、戒毒管理局（含新疆生产建设兵团）出具的属于监狱企业的证明文件。</w:t>
      </w:r>
    </w:p>
    <w:p w14:paraId="75FA1038">
      <w:pPr>
        <w:pStyle w:val="13"/>
        <w:ind w:left="880" w:hanging="460"/>
        <w:rPr>
          <w:rFonts w:ascii="宋体" w:hAnsi="宋体"/>
          <w:color w:val="auto"/>
          <w:sz w:val="23"/>
          <w:szCs w:val="23"/>
          <w:highlight w:val="none"/>
        </w:rPr>
      </w:pPr>
    </w:p>
    <w:p w14:paraId="2E76CAAA">
      <w:pPr>
        <w:pStyle w:val="13"/>
        <w:ind w:left="880" w:hanging="460"/>
        <w:rPr>
          <w:rFonts w:ascii="宋体" w:hAnsi="宋体"/>
          <w:color w:val="auto"/>
          <w:sz w:val="23"/>
          <w:szCs w:val="23"/>
          <w:highlight w:val="none"/>
        </w:rPr>
      </w:pPr>
    </w:p>
    <w:p w14:paraId="06BB37BA">
      <w:pPr>
        <w:pStyle w:val="13"/>
        <w:rPr>
          <w:rFonts w:ascii="宋体" w:hAnsi="宋体"/>
          <w:color w:val="auto"/>
          <w:sz w:val="23"/>
          <w:szCs w:val="23"/>
          <w:highlight w:val="none"/>
        </w:rPr>
      </w:pPr>
    </w:p>
    <w:p w14:paraId="4A11C934">
      <w:pPr>
        <w:pStyle w:val="13"/>
        <w:ind w:left="880" w:hanging="460"/>
        <w:rPr>
          <w:rFonts w:ascii="宋体" w:hAnsi="宋体"/>
          <w:color w:val="auto"/>
          <w:sz w:val="23"/>
          <w:szCs w:val="23"/>
          <w:highlight w:val="none"/>
        </w:rPr>
      </w:pPr>
    </w:p>
    <w:p w14:paraId="0FD3BDB8">
      <w:pPr>
        <w:pStyle w:val="55"/>
        <w:spacing w:line="440" w:lineRule="exact"/>
        <w:ind w:firstLine="480" w:firstLineChars="200"/>
        <w:rPr>
          <w:color w:val="auto"/>
          <w:sz w:val="24"/>
          <w:highlight w:val="none"/>
        </w:rPr>
      </w:pPr>
    </w:p>
    <w:p w14:paraId="6D033B10">
      <w:pPr>
        <w:spacing w:line="360" w:lineRule="auto"/>
        <w:ind w:right="281" w:rightChars="134"/>
        <w:rPr>
          <w:rFonts w:ascii="宋体" w:hAnsi="宋体"/>
          <w:color w:val="auto"/>
          <w:sz w:val="24"/>
          <w:highlight w:val="none"/>
        </w:rPr>
      </w:pPr>
    </w:p>
    <w:p w14:paraId="3845D364">
      <w:pPr>
        <w:rPr>
          <w:color w:val="auto"/>
          <w:highlight w:val="none"/>
        </w:rPr>
      </w:pPr>
    </w:p>
    <w:sectPr>
      <w:headerReference r:id="rId9" w:type="default"/>
      <w:footerReference r:id="rId10" w:type="default"/>
      <w:pgSz w:w="12240" w:h="15840"/>
      <w:pgMar w:top="1531" w:right="1327" w:bottom="1417" w:left="1474"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D7F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FEC0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EFEC0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4542">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D14F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9D14F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0681">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9D1320">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5D9D1320">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C6EA6">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B01F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9B01F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73BD">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8B48">
    <w:pPr>
      <w:pStyle w:val="19"/>
      <w:pBdr>
        <w:bottom w:val="none" w:color="auto" w:sz="0" w:space="1"/>
      </w:pBdr>
    </w:pPr>
  </w:p>
  <w:p w14:paraId="2656E6CD">
    <w:pPr>
      <w:pStyle w:val="19"/>
      <w:pBdr>
        <w:bottom w:val="none" w:color="auto" w:sz="0" w:space="1"/>
      </w:pBdr>
    </w:pPr>
  </w:p>
  <w:p w14:paraId="4B24514D">
    <w:pPr>
      <w:pStyle w:val="19"/>
      <w:pBdr>
        <w:bottom w:val="none" w:color="auto" w:sz="0" w:space="1"/>
      </w:pBdr>
      <w:jc w:val="both"/>
    </w:pPr>
  </w:p>
  <w:p w14:paraId="30726492">
    <w:pPr>
      <w:pStyle w:val="19"/>
      <w:pBdr>
        <w:bottom w:val="none" w:color="auto" w:sz="0" w:space="1"/>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83DC">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C548">
    <w:pPr>
      <w:pStyle w:val="19"/>
      <w:pBdr>
        <w:bottom w:val="none" w:color="auto" w:sz="0" w:space="0"/>
      </w:pBdr>
      <w:tabs>
        <w:tab w:val="left" w:pos="500"/>
        <w:tab w:val="right" w:pos="8964"/>
      </w:tabs>
      <w:jc w:val="right"/>
      <w:rPr>
        <w:rFonts w:hint="eastAsia"/>
      </w:rPr>
    </w:pPr>
  </w:p>
  <w:p w14:paraId="31E814B0">
    <w:pPr>
      <w:pStyle w:val="19"/>
      <w:pBdr>
        <w:bottom w:val="none" w:color="auto" w:sz="0" w:space="0"/>
      </w:pBdr>
      <w:tabs>
        <w:tab w:val="left" w:pos="500"/>
        <w:tab w:val="right" w:pos="8964"/>
      </w:tabs>
      <w:jc w:val="righ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DF103"/>
    <w:multiLevelType w:val="singleLevel"/>
    <w:tmpl w:val="C14DF103"/>
    <w:lvl w:ilvl="0" w:tentative="0">
      <w:start w:val="1"/>
      <w:numFmt w:val="chineseCounting"/>
      <w:suff w:val="nothing"/>
      <w:lvlText w:val="%1、"/>
      <w:lvlJc w:val="left"/>
      <w:rPr>
        <w:rFonts w:hint="eastAsia"/>
      </w:rPr>
    </w:lvl>
  </w:abstractNum>
  <w:abstractNum w:abstractNumId="1">
    <w:nsid w:val="EA124815"/>
    <w:multiLevelType w:val="multilevel"/>
    <w:tmpl w:val="EA1248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BA567DA"/>
    <w:multiLevelType w:val="singleLevel"/>
    <w:tmpl w:val="FBA567DA"/>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8237BA"/>
    <w:multiLevelType w:val="singleLevel"/>
    <w:tmpl w:val="018237BA"/>
    <w:lvl w:ilvl="0" w:tentative="0">
      <w:start w:val="1"/>
      <w:numFmt w:val="decimal"/>
      <w:lvlText w:val="%1."/>
      <w:lvlJc w:val="left"/>
      <w:pPr>
        <w:tabs>
          <w:tab w:val="left" w:pos="312"/>
        </w:tabs>
      </w:pPr>
    </w:lvl>
  </w:abstractNum>
  <w:abstractNum w:abstractNumId="5">
    <w:nsid w:val="2D9A080E"/>
    <w:multiLevelType w:val="singleLevel"/>
    <w:tmpl w:val="2D9A080E"/>
    <w:lvl w:ilvl="0" w:tentative="0">
      <w:start w:val="6"/>
      <w:numFmt w:val="chineseCounting"/>
      <w:suff w:val="space"/>
      <w:lvlText w:val="第%1章"/>
      <w:lvlJc w:val="left"/>
      <w:rPr>
        <w:rFonts w:hint="eastAsia"/>
      </w:rPr>
    </w:lvl>
  </w:abstractNum>
  <w:abstractNum w:abstractNumId="6">
    <w:nsid w:val="3F96C306"/>
    <w:multiLevelType w:val="singleLevel"/>
    <w:tmpl w:val="3F96C306"/>
    <w:lvl w:ilvl="0" w:tentative="0">
      <w:start w:val="3"/>
      <w:numFmt w:val="chineseCounting"/>
      <w:suff w:val="space"/>
      <w:lvlText w:val="第%1章"/>
      <w:lvlJc w:val="left"/>
      <w:rPr>
        <w:rFonts w:hint="eastAsia"/>
      </w:rPr>
    </w:lvl>
  </w:abstractNum>
  <w:abstractNum w:abstractNumId="7">
    <w:nsid w:val="641DB778"/>
    <w:multiLevelType w:val="singleLevel"/>
    <w:tmpl w:val="641DB778"/>
    <w:lvl w:ilvl="0" w:tentative="0">
      <w:start w:val="3"/>
      <w:numFmt w:val="chineseCounting"/>
      <w:suff w:val="nothing"/>
      <w:lvlText w:val="%1、"/>
      <w:lvlJc w:val="left"/>
      <w:rPr>
        <w:rFonts w:hint="eastAsia"/>
      </w:rPr>
    </w:lvl>
  </w:abstractNum>
  <w:abstractNum w:abstractNumId="8">
    <w:nsid w:val="7F220A3E"/>
    <w:multiLevelType w:val="multilevel"/>
    <w:tmpl w:val="7F220A3E"/>
    <w:lvl w:ilvl="0" w:tentative="0">
      <w:start w:val="1"/>
      <w:numFmt w:val="decimal"/>
      <w:suff w:val="nothing"/>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7"/>
  </w:num>
  <w:num w:numId="4">
    <w:abstractNumId w:val="8"/>
  </w:num>
  <w:num w:numId="5">
    <w:abstractNumId w:val="4"/>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5A4A022D"/>
    <w:rsid w:val="00054198"/>
    <w:rsid w:val="00064524"/>
    <w:rsid w:val="00084BEC"/>
    <w:rsid w:val="000D496C"/>
    <w:rsid w:val="000E4086"/>
    <w:rsid w:val="000E5D71"/>
    <w:rsid w:val="000F03C0"/>
    <w:rsid w:val="000F08F0"/>
    <w:rsid w:val="00121E8E"/>
    <w:rsid w:val="00130B37"/>
    <w:rsid w:val="00141244"/>
    <w:rsid w:val="0017603F"/>
    <w:rsid w:val="00177AD3"/>
    <w:rsid w:val="001A7FFB"/>
    <w:rsid w:val="001D0D63"/>
    <w:rsid w:val="001F3C2F"/>
    <w:rsid w:val="0021759A"/>
    <w:rsid w:val="00222033"/>
    <w:rsid w:val="0023505B"/>
    <w:rsid w:val="00251D4D"/>
    <w:rsid w:val="00263B78"/>
    <w:rsid w:val="002C2003"/>
    <w:rsid w:val="002E01C1"/>
    <w:rsid w:val="002E3019"/>
    <w:rsid w:val="002F21AB"/>
    <w:rsid w:val="002F3DDD"/>
    <w:rsid w:val="00353201"/>
    <w:rsid w:val="00355360"/>
    <w:rsid w:val="00361A58"/>
    <w:rsid w:val="00370575"/>
    <w:rsid w:val="00381AF0"/>
    <w:rsid w:val="00393D45"/>
    <w:rsid w:val="003A0A19"/>
    <w:rsid w:val="003B3A27"/>
    <w:rsid w:val="003F6868"/>
    <w:rsid w:val="00410072"/>
    <w:rsid w:val="00415FB0"/>
    <w:rsid w:val="00436A3A"/>
    <w:rsid w:val="0045714F"/>
    <w:rsid w:val="00480389"/>
    <w:rsid w:val="0049529B"/>
    <w:rsid w:val="004F3C20"/>
    <w:rsid w:val="005151E1"/>
    <w:rsid w:val="00524705"/>
    <w:rsid w:val="00544DCA"/>
    <w:rsid w:val="00566F64"/>
    <w:rsid w:val="005F3738"/>
    <w:rsid w:val="00612B2E"/>
    <w:rsid w:val="0065743F"/>
    <w:rsid w:val="00677083"/>
    <w:rsid w:val="006C7C1E"/>
    <w:rsid w:val="006D25BC"/>
    <w:rsid w:val="007007DA"/>
    <w:rsid w:val="007271FA"/>
    <w:rsid w:val="00736205"/>
    <w:rsid w:val="0076285A"/>
    <w:rsid w:val="007654E8"/>
    <w:rsid w:val="0077455F"/>
    <w:rsid w:val="00780B42"/>
    <w:rsid w:val="00784581"/>
    <w:rsid w:val="007B3F2E"/>
    <w:rsid w:val="00896EC1"/>
    <w:rsid w:val="008D4856"/>
    <w:rsid w:val="008E08B9"/>
    <w:rsid w:val="009274B7"/>
    <w:rsid w:val="00937548"/>
    <w:rsid w:val="0095327E"/>
    <w:rsid w:val="009B162B"/>
    <w:rsid w:val="009B5F4D"/>
    <w:rsid w:val="009C66C4"/>
    <w:rsid w:val="009E6F71"/>
    <w:rsid w:val="009F7714"/>
    <w:rsid w:val="00A074BD"/>
    <w:rsid w:val="00A258C7"/>
    <w:rsid w:val="00A50779"/>
    <w:rsid w:val="00A8011E"/>
    <w:rsid w:val="00A8369F"/>
    <w:rsid w:val="00AC03FD"/>
    <w:rsid w:val="00AD7F0F"/>
    <w:rsid w:val="00B06D69"/>
    <w:rsid w:val="00B71F65"/>
    <w:rsid w:val="00B9344F"/>
    <w:rsid w:val="00B97C77"/>
    <w:rsid w:val="00BA3803"/>
    <w:rsid w:val="00BE680B"/>
    <w:rsid w:val="00C70833"/>
    <w:rsid w:val="00CB7F7E"/>
    <w:rsid w:val="00CF7CCC"/>
    <w:rsid w:val="00D5063D"/>
    <w:rsid w:val="00D51E63"/>
    <w:rsid w:val="00DB08CA"/>
    <w:rsid w:val="00DB7C34"/>
    <w:rsid w:val="00DC3E52"/>
    <w:rsid w:val="00DD0343"/>
    <w:rsid w:val="00DD7C8F"/>
    <w:rsid w:val="00DF58FC"/>
    <w:rsid w:val="00E60A9C"/>
    <w:rsid w:val="00E82E2E"/>
    <w:rsid w:val="00E973EC"/>
    <w:rsid w:val="00EB1BF1"/>
    <w:rsid w:val="00EF46D1"/>
    <w:rsid w:val="00F23F94"/>
    <w:rsid w:val="00F6114C"/>
    <w:rsid w:val="00FB1014"/>
    <w:rsid w:val="00FB32A5"/>
    <w:rsid w:val="00FB796F"/>
    <w:rsid w:val="010C3692"/>
    <w:rsid w:val="01325A8F"/>
    <w:rsid w:val="01536131"/>
    <w:rsid w:val="0183453D"/>
    <w:rsid w:val="018F216A"/>
    <w:rsid w:val="01AC3A93"/>
    <w:rsid w:val="01EB719C"/>
    <w:rsid w:val="022E26FA"/>
    <w:rsid w:val="026A3B24"/>
    <w:rsid w:val="0273635F"/>
    <w:rsid w:val="027F4D04"/>
    <w:rsid w:val="029F6AE3"/>
    <w:rsid w:val="02A1111E"/>
    <w:rsid w:val="02C26680"/>
    <w:rsid w:val="02C646E1"/>
    <w:rsid w:val="02C67B59"/>
    <w:rsid w:val="02D52B76"/>
    <w:rsid w:val="02DC5CB3"/>
    <w:rsid w:val="034A70C0"/>
    <w:rsid w:val="03934A27"/>
    <w:rsid w:val="03A964DC"/>
    <w:rsid w:val="03E94F3F"/>
    <w:rsid w:val="03FD2384"/>
    <w:rsid w:val="04003C23"/>
    <w:rsid w:val="045960A5"/>
    <w:rsid w:val="046657AD"/>
    <w:rsid w:val="04906534"/>
    <w:rsid w:val="04974587"/>
    <w:rsid w:val="04C82250"/>
    <w:rsid w:val="04D8694E"/>
    <w:rsid w:val="04E62E18"/>
    <w:rsid w:val="04E839D9"/>
    <w:rsid w:val="05274D60"/>
    <w:rsid w:val="05300538"/>
    <w:rsid w:val="053A3164"/>
    <w:rsid w:val="05471E0D"/>
    <w:rsid w:val="056B4537"/>
    <w:rsid w:val="058B39C0"/>
    <w:rsid w:val="05A52CD4"/>
    <w:rsid w:val="05B9677F"/>
    <w:rsid w:val="05C313AC"/>
    <w:rsid w:val="05D04C08"/>
    <w:rsid w:val="05EE691D"/>
    <w:rsid w:val="06007F0A"/>
    <w:rsid w:val="060A0D89"/>
    <w:rsid w:val="060B0054"/>
    <w:rsid w:val="0613198F"/>
    <w:rsid w:val="06212F3A"/>
    <w:rsid w:val="062A142B"/>
    <w:rsid w:val="064A5629"/>
    <w:rsid w:val="068E0FAA"/>
    <w:rsid w:val="06FE6B3F"/>
    <w:rsid w:val="070B4DB8"/>
    <w:rsid w:val="07155C37"/>
    <w:rsid w:val="0721638A"/>
    <w:rsid w:val="07697D31"/>
    <w:rsid w:val="076B5857"/>
    <w:rsid w:val="077741FC"/>
    <w:rsid w:val="07A11279"/>
    <w:rsid w:val="07CD02C0"/>
    <w:rsid w:val="07D03DB9"/>
    <w:rsid w:val="07D576BA"/>
    <w:rsid w:val="08033CE1"/>
    <w:rsid w:val="087F5A5E"/>
    <w:rsid w:val="08850B9A"/>
    <w:rsid w:val="08B20C44"/>
    <w:rsid w:val="08BB280E"/>
    <w:rsid w:val="08EE4992"/>
    <w:rsid w:val="09071691"/>
    <w:rsid w:val="09093579"/>
    <w:rsid w:val="09102B5A"/>
    <w:rsid w:val="09336848"/>
    <w:rsid w:val="094620D8"/>
    <w:rsid w:val="095567BF"/>
    <w:rsid w:val="097430E9"/>
    <w:rsid w:val="099D7377"/>
    <w:rsid w:val="09B90AFC"/>
    <w:rsid w:val="09CA2D09"/>
    <w:rsid w:val="09DB4F16"/>
    <w:rsid w:val="09EA6F07"/>
    <w:rsid w:val="0A071B54"/>
    <w:rsid w:val="0A1D552E"/>
    <w:rsid w:val="0A466107"/>
    <w:rsid w:val="0A595E3B"/>
    <w:rsid w:val="0A5B44A1"/>
    <w:rsid w:val="0A695B05"/>
    <w:rsid w:val="0A9D21CB"/>
    <w:rsid w:val="0AB47515"/>
    <w:rsid w:val="0AB5299F"/>
    <w:rsid w:val="0AC459AA"/>
    <w:rsid w:val="0AD61FFD"/>
    <w:rsid w:val="0B0053E5"/>
    <w:rsid w:val="0B043FF8"/>
    <w:rsid w:val="0BC67500"/>
    <w:rsid w:val="0BFC5617"/>
    <w:rsid w:val="0BFF69CD"/>
    <w:rsid w:val="0C095EF0"/>
    <w:rsid w:val="0C0F6F5B"/>
    <w:rsid w:val="0C2E1A92"/>
    <w:rsid w:val="0C452B1A"/>
    <w:rsid w:val="0C5E5EFE"/>
    <w:rsid w:val="0C886EAB"/>
    <w:rsid w:val="0C986CB4"/>
    <w:rsid w:val="0CAC4948"/>
    <w:rsid w:val="0CC021A1"/>
    <w:rsid w:val="0CF25D3D"/>
    <w:rsid w:val="0D20476E"/>
    <w:rsid w:val="0D3112F1"/>
    <w:rsid w:val="0D3A63F7"/>
    <w:rsid w:val="0D5648B3"/>
    <w:rsid w:val="0D643474"/>
    <w:rsid w:val="0DEA1BCB"/>
    <w:rsid w:val="0DEC195D"/>
    <w:rsid w:val="0DF20BBD"/>
    <w:rsid w:val="0E385D18"/>
    <w:rsid w:val="0E3E1F17"/>
    <w:rsid w:val="0E4532A6"/>
    <w:rsid w:val="0E4A266A"/>
    <w:rsid w:val="0E63197E"/>
    <w:rsid w:val="0E651252"/>
    <w:rsid w:val="0E7B72B8"/>
    <w:rsid w:val="0EBE6BB4"/>
    <w:rsid w:val="0EE45E8E"/>
    <w:rsid w:val="0F0F7410"/>
    <w:rsid w:val="0F334EAC"/>
    <w:rsid w:val="0F5D017B"/>
    <w:rsid w:val="0F6C4862"/>
    <w:rsid w:val="0F80531C"/>
    <w:rsid w:val="0FA67D74"/>
    <w:rsid w:val="0FB75ADD"/>
    <w:rsid w:val="0FD20B69"/>
    <w:rsid w:val="0FE12B5A"/>
    <w:rsid w:val="0FE94D62"/>
    <w:rsid w:val="0FFF7484"/>
    <w:rsid w:val="10046849"/>
    <w:rsid w:val="10101691"/>
    <w:rsid w:val="10944070"/>
    <w:rsid w:val="10991687"/>
    <w:rsid w:val="109D1177"/>
    <w:rsid w:val="10A122E9"/>
    <w:rsid w:val="10D34B99"/>
    <w:rsid w:val="10F53DED"/>
    <w:rsid w:val="1102547E"/>
    <w:rsid w:val="1118715F"/>
    <w:rsid w:val="11371E0C"/>
    <w:rsid w:val="114809B7"/>
    <w:rsid w:val="116003F7"/>
    <w:rsid w:val="116C0B49"/>
    <w:rsid w:val="117500F1"/>
    <w:rsid w:val="11890DFD"/>
    <w:rsid w:val="119F4AF9"/>
    <w:rsid w:val="11C646FD"/>
    <w:rsid w:val="11D81D3B"/>
    <w:rsid w:val="120D7FB6"/>
    <w:rsid w:val="12521AED"/>
    <w:rsid w:val="12614426"/>
    <w:rsid w:val="12647A72"/>
    <w:rsid w:val="12723F3D"/>
    <w:rsid w:val="129E4D32"/>
    <w:rsid w:val="12A762DD"/>
    <w:rsid w:val="12C3104C"/>
    <w:rsid w:val="12CF313E"/>
    <w:rsid w:val="12E806A4"/>
    <w:rsid w:val="12E82452"/>
    <w:rsid w:val="13113756"/>
    <w:rsid w:val="1319085D"/>
    <w:rsid w:val="13352BE1"/>
    <w:rsid w:val="13497394"/>
    <w:rsid w:val="13884D82"/>
    <w:rsid w:val="13BD568C"/>
    <w:rsid w:val="13DB3D64"/>
    <w:rsid w:val="13E42C19"/>
    <w:rsid w:val="142676D5"/>
    <w:rsid w:val="143F42F3"/>
    <w:rsid w:val="144F1A27"/>
    <w:rsid w:val="14553B17"/>
    <w:rsid w:val="1457163D"/>
    <w:rsid w:val="145A112D"/>
    <w:rsid w:val="147F2942"/>
    <w:rsid w:val="14A625C4"/>
    <w:rsid w:val="14AC06BA"/>
    <w:rsid w:val="14D35C9E"/>
    <w:rsid w:val="14D47131"/>
    <w:rsid w:val="14F153DC"/>
    <w:rsid w:val="151E320B"/>
    <w:rsid w:val="156324C9"/>
    <w:rsid w:val="15826B8D"/>
    <w:rsid w:val="158A5A42"/>
    <w:rsid w:val="159A11DA"/>
    <w:rsid w:val="15A31E34"/>
    <w:rsid w:val="15B91F4C"/>
    <w:rsid w:val="15C471A6"/>
    <w:rsid w:val="15CE576D"/>
    <w:rsid w:val="15F64F98"/>
    <w:rsid w:val="16050E61"/>
    <w:rsid w:val="16066CA6"/>
    <w:rsid w:val="161D68B6"/>
    <w:rsid w:val="163065E9"/>
    <w:rsid w:val="16361726"/>
    <w:rsid w:val="164756E1"/>
    <w:rsid w:val="16585B40"/>
    <w:rsid w:val="166242C9"/>
    <w:rsid w:val="166F1A0B"/>
    <w:rsid w:val="16D231FD"/>
    <w:rsid w:val="16D87AC8"/>
    <w:rsid w:val="17401BDF"/>
    <w:rsid w:val="174560C4"/>
    <w:rsid w:val="17802B46"/>
    <w:rsid w:val="17A4103D"/>
    <w:rsid w:val="17B46DA6"/>
    <w:rsid w:val="17C25E4A"/>
    <w:rsid w:val="17CC40F0"/>
    <w:rsid w:val="17D2722C"/>
    <w:rsid w:val="17E51656"/>
    <w:rsid w:val="17E551B2"/>
    <w:rsid w:val="17F04282"/>
    <w:rsid w:val="18047D2E"/>
    <w:rsid w:val="181066D2"/>
    <w:rsid w:val="182E52BE"/>
    <w:rsid w:val="18356F10"/>
    <w:rsid w:val="18664544"/>
    <w:rsid w:val="18B51028"/>
    <w:rsid w:val="18DA45EA"/>
    <w:rsid w:val="19081158"/>
    <w:rsid w:val="19102702"/>
    <w:rsid w:val="19120228"/>
    <w:rsid w:val="192B4E46"/>
    <w:rsid w:val="192C032B"/>
    <w:rsid w:val="194E7CE4"/>
    <w:rsid w:val="19956BA1"/>
    <w:rsid w:val="199724DC"/>
    <w:rsid w:val="19C44579"/>
    <w:rsid w:val="19D96F98"/>
    <w:rsid w:val="19F94F44"/>
    <w:rsid w:val="19FB0CBC"/>
    <w:rsid w:val="1A0436AE"/>
    <w:rsid w:val="1A0631BA"/>
    <w:rsid w:val="1A0F4768"/>
    <w:rsid w:val="1A8D5614"/>
    <w:rsid w:val="1A8F00BD"/>
    <w:rsid w:val="1AC437A4"/>
    <w:rsid w:val="1B3E5305"/>
    <w:rsid w:val="1B412F54"/>
    <w:rsid w:val="1B682381"/>
    <w:rsid w:val="1BA645DA"/>
    <w:rsid w:val="1BB6133F"/>
    <w:rsid w:val="1BBB0703"/>
    <w:rsid w:val="1BD11787"/>
    <w:rsid w:val="1BEC284A"/>
    <w:rsid w:val="1BFC27CD"/>
    <w:rsid w:val="1C085913"/>
    <w:rsid w:val="1C0E7FA7"/>
    <w:rsid w:val="1C3E30E2"/>
    <w:rsid w:val="1C4032FE"/>
    <w:rsid w:val="1C47468D"/>
    <w:rsid w:val="1C606182"/>
    <w:rsid w:val="1C731855"/>
    <w:rsid w:val="1C8C6544"/>
    <w:rsid w:val="1CB11B06"/>
    <w:rsid w:val="1CB533A4"/>
    <w:rsid w:val="1CC37789"/>
    <w:rsid w:val="1D061E52"/>
    <w:rsid w:val="1D44297A"/>
    <w:rsid w:val="1D8611E5"/>
    <w:rsid w:val="1D8A4831"/>
    <w:rsid w:val="1D9456B0"/>
    <w:rsid w:val="1D9F5E03"/>
    <w:rsid w:val="1DB93368"/>
    <w:rsid w:val="1DD221C4"/>
    <w:rsid w:val="1DD45AAC"/>
    <w:rsid w:val="1DFE6FCD"/>
    <w:rsid w:val="1E122A78"/>
    <w:rsid w:val="1E1E31CB"/>
    <w:rsid w:val="1E2F362A"/>
    <w:rsid w:val="1E313035"/>
    <w:rsid w:val="1E5B026C"/>
    <w:rsid w:val="1E836C8B"/>
    <w:rsid w:val="1EB07D8C"/>
    <w:rsid w:val="1EC45B21"/>
    <w:rsid w:val="1ECF44C6"/>
    <w:rsid w:val="1EDF7EA5"/>
    <w:rsid w:val="1EE47F71"/>
    <w:rsid w:val="1F342385"/>
    <w:rsid w:val="1F345333"/>
    <w:rsid w:val="1F4570D0"/>
    <w:rsid w:val="1F536EA5"/>
    <w:rsid w:val="1F7A77B5"/>
    <w:rsid w:val="1F9E45C4"/>
    <w:rsid w:val="1FAA3447"/>
    <w:rsid w:val="20196340"/>
    <w:rsid w:val="205E3D53"/>
    <w:rsid w:val="207A31A7"/>
    <w:rsid w:val="20A21E92"/>
    <w:rsid w:val="20AD6704"/>
    <w:rsid w:val="20CC6F0F"/>
    <w:rsid w:val="21042212"/>
    <w:rsid w:val="212136FE"/>
    <w:rsid w:val="212154AC"/>
    <w:rsid w:val="213B58F4"/>
    <w:rsid w:val="214116AB"/>
    <w:rsid w:val="21425423"/>
    <w:rsid w:val="21486EDD"/>
    <w:rsid w:val="21494A03"/>
    <w:rsid w:val="21A8172A"/>
    <w:rsid w:val="21B856E5"/>
    <w:rsid w:val="21BD274C"/>
    <w:rsid w:val="21F4671D"/>
    <w:rsid w:val="22160D89"/>
    <w:rsid w:val="221F1E62"/>
    <w:rsid w:val="223B259E"/>
    <w:rsid w:val="223C1E72"/>
    <w:rsid w:val="22401962"/>
    <w:rsid w:val="22467293"/>
    <w:rsid w:val="22AE577E"/>
    <w:rsid w:val="22B61C24"/>
    <w:rsid w:val="22C24A6D"/>
    <w:rsid w:val="23057A3A"/>
    <w:rsid w:val="230944CB"/>
    <w:rsid w:val="23521CFC"/>
    <w:rsid w:val="23694EE9"/>
    <w:rsid w:val="23834892"/>
    <w:rsid w:val="238521BF"/>
    <w:rsid w:val="23867849"/>
    <w:rsid w:val="2398757C"/>
    <w:rsid w:val="239D2DE4"/>
    <w:rsid w:val="23A570F4"/>
    <w:rsid w:val="23AC3027"/>
    <w:rsid w:val="23D902C0"/>
    <w:rsid w:val="23E643A4"/>
    <w:rsid w:val="2414319F"/>
    <w:rsid w:val="24631F8A"/>
    <w:rsid w:val="247C440B"/>
    <w:rsid w:val="24945F95"/>
    <w:rsid w:val="24BB2DB5"/>
    <w:rsid w:val="250F4863"/>
    <w:rsid w:val="251175E6"/>
    <w:rsid w:val="25253091"/>
    <w:rsid w:val="253F05F7"/>
    <w:rsid w:val="2540611D"/>
    <w:rsid w:val="254B70B5"/>
    <w:rsid w:val="25592D3B"/>
    <w:rsid w:val="256221D0"/>
    <w:rsid w:val="25675458"/>
    <w:rsid w:val="2575402D"/>
    <w:rsid w:val="258778A8"/>
    <w:rsid w:val="258D3CD2"/>
    <w:rsid w:val="25900E53"/>
    <w:rsid w:val="259C4F9F"/>
    <w:rsid w:val="25B90A48"/>
    <w:rsid w:val="25DF760E"/>
    <w:rsid w:val="25EC16C5"/>
    <w:rsid w:val="25F5333B"/>
    <w:rsid w:val="25FF726F"/>
    <w:rsid w:val="261D7930"/>
    <w:rsid w:val="26357304"/>
    <w:rsid w:val="263D1916"/>
    <w:rsid w:val="266B0F78"/>
    <w:rsid w:val="268A3AF4"/>
    <w:rsid w:val="268B33C8"/>
    <w:rsid w:val="269C3827"/>
    <w:rsid w:val="269E134D"/>
    <w:rsid w:val="26C96BBD"/>
    <w:rsid w:val="26DE3F18"/>
    <w:rsid w:val="270B05C2"/>
    <w:rsid w:val="275639D6"/>
    <w:rsid w:val="27787DF0"/>
    <w:rsid w:val="279B588D"/>
    <w:rsid w:val="27B30E28"/>
    <w:rsid w:val="27B626C7"/>
    <w:rsid w:val="27BF157B"/>
    <w:rsid w:val="27CA036F"/>
    <w:rsid w:val="27D019DA"/>
    <w:rsid w:val="27ED437B"/>
    <w:rsid w:val="28130CB1"/>
    <w:rsid w:val="281A4A03"/>
    <w:rsid w:val="28481571"/>
    <w:rsid w:val="28575C58"/>
    <w:rsid w:val="288657B9"/>
    <w:rsid w:val="288838A7"/>
    <w:rsid w:val="288E0F4E"/>
    <w:rsid w:val="28A32C4B"/>
    <w:rsid w:val="28A6098D"/>
    <w:rsid w:val="28AA222B"/>
    <w:rsid w:val="28B906C0"/>
    <w:rsid w:val="28C332ED"/>
    <w:rsid w:val="28E62B38"/>
    <w:rsid w:val="28F74D45"/>
    <w:rsid w:val="28F811E9"/>
    <w:rsid w:val="28FF4587"/>
    <w:rsid w:val="2920604A"/>
    <w:rsid w:val="295E39AA"/>
    <w:rsid w:val="296E3259"/>
    <w:rsid w:val="299802D6"/>
    <w:rsid w:val="29C27101"/>
    <w:rsid w:val="29EE7EF6"/>
    <w:rsid w:val="2A30378F"/>
    <w:rsid w:val="2A475858"/>
    <w:rsid w:val="2A481CFC"/>
    <w:rsid w:val="2A5644EE"/>
    <w:rsid w:val="2A5A558B"/>
    <w:rsid w:val="2A6D3510"/>
    <w:rsid w:val="2AA84549"/>
    <w:rsid w:val="2AD55FB6"/>
    <w:rsid w:val="2AE31A25"/>
    <w:rsid w:val="2AEC6B2B"/>
    <w:rsid w:val="2AFC6642"/>
    <w:rsid w:val="2B0D7429"/>
    <w:rsid w:val="2B165956"/>
    <w:rsid w:val="2B2067D5"/>
    <w:rsid w:val="2B26790B"/>
    <w:rsid w:val="2B382776"/>
    <w:rsid w:val="2B54647E"/>
    <w:rsid w:val="2B7408CF"/>
    <w:rsid w:val="2B830B12"/>
    <w:rsid w:val="2B852ADC"/>
    <w:rsid w:val="2B8A1EA0"/>
    <w:rsid w:val="2B9176D3"/>
    <w:rsid w:val="2BA411B4"/>
    <w:rsid w:val="2BB163B6"/>
    <w:rsid w:val="2BC5112A"/>
    <w:rsid w:val="2BC70391"/>
    <w:rsid w:val="2BCC485E"/>
    <w:rsid w:val="2BE617CC"/>
    <w:rsid w:val="2BE916EB"/>
    <w:rsid w:val="2C212804"/>
    <w:rsid w:val="2C2220D9"/>
    <w:rsid w:val="2C462E3B"/>
    <w:rsid w:val="2C491D5B"/>
    <w:rsid w:val="2C7843EE"/>
    <w:rsid w:val="2CA86A82"/>
    <w:rsid w:val="2CB74F17"/>
    <w:rsid w:val="2CCA2E9C"/>
    <w:rsid w:val="2CDA0C05"/>
    <w:rsid w:val="2CDD1FC6"/>
    <w:rsid w:val="2CF55A3F"/>
    <w:rsid w:val="2D144117"/>
    <w:rsid w:val="2D300825"/>
    <w:rsid w:val="2D3F5043"/>
    <w:rsid w:val="2D4C1B03"/>
    <w:rsid w:val="2D4F6EFD"/>
    <w:rsid w:val="2D582165"/>
    <w:rsid w:val="2D636E4D"/>
    <w:rsid w:val="2D8172D3"/>
    <w:rsid w:val="2D981A49"/>
    <w:rsid w:val="2DB476A8"/>
    <w:rsid w:val="2DD218DC"/>
    <w:rsid w:val="2DD6761F"/>
    <w:rsid w:val="2E516CA5"/>
    <w:rsid w:val="2E5F54AF"/>
    <w:rsid w:val="2E700F55"/>
    <w:rsid w:val="2E76670C"/>
    <w:rsid w:val="2EB23BE8"/>
    <w:rsid w:val="2EBB2D5B"/>
    <w:rsid w:val="2EDE49DD"/>
    <w:rsid w:val="2EE63891"/>
    <w:rsid w:val="2EF02F4C"/>
    <w:rsid w:val="2EF51D26"/>
    <w:rsid w:val="2F065CE2"/>
    <w:rsid w:val="2F4405B8"/>
    <w:rsid w:val="2F7F44AD"/>
    <w:rsid w:val="2FB31F6C"/>
    <w:rsid w:val="2FB43990"/>
    <w:rsid w:val="2FC00586"/>
    <w:rsid w:val="2FC242FE"/>
    <w:rsid w:val="2FCF07C9"/>
    <w:rsid w:val="2FDC6A42"/>
    <w:rsid w:val="2FEB0CA0"/>
    <w:rsid w:val="303F76FD"/>
    <w:rsid w:val="3098505F"/>
    <w:rsid w:val="30B05F05"/>
    <w:rsid w:val="30B654E5"/>
    <w:rsid w:val="3102072B"/>
    <w:rsid w:val="310C33F6"/>
    <w:rsid w:val="31175F84"/>
    <w:rsid w:val="31224929"/>
    <w:rsid w:val="31237B7D"/>
    <w:rsid w:val="3127043A"/>
    <w:rsid w:val="31277E20"/>
    <w:rsid w:val="31293F09"/>
    <w:rsid w:val="31D976DD"/>
    <w:rsid w:val="31ED3AD7"/>
    <w:rsid w:val="31FE03BD"/>
    <w:rsid w:val="32221D0A"/>
    <w:rsid w:val="3240150B"/>
    <w:rsid w:val="327A2F8B"/>
    <w:rsid w:val="32947003"/>
    <w:rsid w:val="329854BC"/>
    <w:rsid w:val="329F31BE"/>
    <w:rsid w:val="32AC094E"/>
    <w:rsid w:val="32B302D8"/>
    <w:rsid w:val="32F522F5"/>
    <w:rsid w:val="330E785B"/>
    <w:rsid w:val="331F0B5E"/>
    <w:rsid w:val="334B63B9"/>
    <w:rsid w:val="33A86B38"/>
    <w:rsid w:val="33B454B9"/>
    <w:rsid w:val="33C10429"/>
    <w:rsid w:val="33DB598F"/>
    <w:rsid w:val="33E800AC"/>
    <w:rsid w:val="34000F51"/>
    <w:rsid w:val="340773FE"/>
    <w:rsid w:val="34473024"/>
    <w:rsid w:val="3487269E"/>
    <w:rsid w:val="349F69BC"/>
    <w:rsid w:val="34AC10D9"/>
    <w:rsid w:val="34B127F2"/>
    <w:rsid w:val="34B955A4"/>
    <w:rsid w:val="34BB756E"/>
    <w:rsid w:val="34E40873"/>
    <w:rsid w:val="35040F15"/>
    <w:rsid w:val="35080A81"/>
    <w:rsid w:val="35156C7E"/>
    <w:rsid w:val="352136EE"/>
    <w:rsid w:val="352C3FC8"/>
    <w:rsid w:val="35366BF5"/>
    <w:rsid w:val="35605B95"/>
    <w:rsid w:val="3569521C"/>
    <w:rsid w:val="357755C3"/>
    <w:rsid w:val="359C5797"/>
    <w:rsid w:val="35CB1A33"/>
    <w:rsid w:val="35D54660"/>
    <w:rsid w:val="35DC33E1"/>
    <w:rsid w:val="35E473BA"/>
    <w:rsid w:val="3600792F"/>
    <w:rsid w:val="3609385A"/>
    <w:rsid w:val="360A4309"/>
    <w:rsid w:val="367875ED"/>
    <w:rsid w:val="3699743B"/>
    <w:rsid w:val="369D0703"/>
    <w:rsid w:val="36C73FA8"/>
    <w:rsid w:val="36CE3589"/>
    <w:rsid w:val="37135440"/>
    <w:rsid w:val="37180CA8"/>
    <w:rsid w:val="373838CC"/>
    <w:rsid w:val="37465815"/>
    <w:rsid w:val="377E7D1F"/>
    <w:rsid w:val="37A44F22"/>
    <w:rsid w:val="37BA3B0D"/>
    <w:rsid w:val="37D20D57"/>
    <w:rsid w:val="37D445CB"/>
    <w:rsid w:val="3809239F"/>
    <w:rsid w:val="380F20AB"/>
    <w:rsid w:val="38156F95"/>
    <w:rsid w:val="381C0324"/>
    <w:rsid w:val="385E26EA"/>
    <w:rsid w:val="387737AC"/>
    <w:rsid w:val="38832151"/>
    <w:rsid w:val="389600D6"/>
    <w:rsid w:val="389820A0"/>
    <w:rsid w:val="38B661EB"/>
    <w:rsid w:val="38EA0422"/>
    <w:rsid w:val="38EF5A38"/>
    <w:rsid w:val="391F631E"/>
    <w:rsid w:val="394C72D5"/>
    <w:rsid w:val="394E275F"/>
    <w:rsid w:val="395F3D5D"/>
    <w:rsid w:val="39622530"/>
    <w:rsid w:val="39627FEE"/>
    <w:rsid w:val="397B5B20"/>
    <w:rsid w:val="398E0DAD"/>
    <w:rsid w:val="39E17ED6"/>
    <w:rsid w:val="39F71049"/>
    <w:rsid w:val="3A042E72"/>
    <w:rsid w:val="3A190FBF"/>
    <w:rsid w:val="3A247C6F"/>
    <w:rsid w:val="3A39340F"/>
    <w:rsid w:val="3A3E4582"/>
    <w:rsid w:val="3AC76C6D"/>
    <w:rsid w:val="3AE24BAA"/>
    <w:rsid w:val="3B0749BE"/>
    <w:rsid w:val="3B18594C"/>
    <w:rsid w:val="3B4B54D3"/>
    <w:rsid w:val="3B887D6C"/>
    <w:rsid w:val="3B950B19"/>
    <w:rsid w:val="3B9E47B3"/>
    <w:rsid w:val="3BF55114"/>
    <w:rsid w:val="3C0417FB"/>
    <w:rsid w:val="3C21415B"/>
    <w:rsid w:val="3C5F2ED5"/>
    <w:rsid w:val="3C990195"/>
    <w:rsid w:val="3CB0106E"/>
    <w:rsid w:val="3CD25455"/>
    <w:rsid w:val="3CF17FD1"/>
    <w:rsid w:val="3CFE624A"/>
    <w:rsid w:val="3D023F8C"/>
    <w:rsid w:val="3D025F87"/>
    <w:rsid w:val="3D1E7007"/>
    <w:rsid w:val="3D3B7832"/>
    <w:rsid w:val="3D5B544A"/>
    <w:rsid w:val="3D6E33D0"/>
    <w:rsid w:val="3D6F0EF6"/>
    <w:rsid w:val="3D793B23"/>
    <w:rsid w:val="3D8471A6"/>
    <w:rsid w:val="3DA94062"/>
    <w:rsid w:val="3DB35286"/>
    <w:rsid w:val="3DC413EB"/>
    <w:rsid w:val="3DCB24D4"/>
    <w:rsid w:val="3E0655D2"/>
    <w:rsid w:val="3E18158D"/>
    <w:rsid w:val="3E1C72D0"/>
    <w:rsid w:val="3E23065E"/>
    <w:rsid w:val="3E350391"/>
    <w:rsid w:val="3E3C150D"/>
    <w:rsid w:val="3E4D7489"/>
    <w:rsid w:val="3E66679D"/>
    <w:rsid w:val="3E96482D"/>
    <w:rsid w:val="3EA3354D"/>
    <w:rsid w:val="3EA970E8"/>
    <w:rsid w:val="3EBA1B90"/>
    <w:rsid w:val="3EC314F9"/>
    <w:rsid w:val="3ECE2C6C"/>
    <w:rsid w:val="3EDB4A95"/>
    <w:rsid w:val="3EEB64E3"/>
    <w:rsid w:val="3EEC4EF4"/>
    <w:rsid w:val="3EFC6FC5"/>
    <w:rsid w:val="3F32042D"/>
    <w:rsid w:val="3F6E36BB"/>
    <w:rsid w:val="3FB874E7"/>
    <w:rsid w:val="3FCA67B5"/>
    <w:rsid w:val="3FCC262F"/>
    <w:rsid w:val="3FE25654"/>
    <w:rsid w:val="40251D40"/>
    <w:rsid w:val="40387CC5"/>
    <w:rsid w:val="4077259B"/>
    <w:rsid w:val="40972C3D"/>
    <w:rsid w:val="40BE01CA"/>
    <w:rsid w:val="40C4274A"/>
    <w:rsid w:val="40D91D9F"/>
    <w:rsid w:val="40DE0942"/>
    <w:rsid w:val="40E85247"/>
    <w:rsid w:val="410D2F00"/>
    <w:rsid w:val="412F2E76"/>
    <w:rsid w:val="413401E0"/>
    <w:rsid w:val="41417572"/>
    <w:rsid w:val="415F1CE1"/>
    <w:rsid w:val="416A2100"/>
    <w:rsid w:val="41C04416"/>
    <w:rsid w:val="42024A2E"/>
    <w:rsid w:val="420D0E85"/>
    <w:rsid w:val="4248180C"/>
    <w:rsid w:val="4249440B"/>
    <w:rsid w:val="424B3CDF"/>
    <w:rsid w:val="42583508"/>
    <w:rsid w:val="428B4A24"/>
    <w:rsid w:val="42925DB2"/>
    <w:rsid w:val="42C65A5C"/>
    <w:rsid w:val="42DC7125"/>
    <w:rsid w:val="42ED78FB"/>
    <w:rsid w:val="42F9198D"/>
    <w:rsid w:val="42FA26CE"/>
    <w:rsid w:val="430A20F2"/>
    <w:rsid w:val="431542ED"/>
    <w:rsid w:val="43346E69"/>
    <w:rsid w:val="434429A1"/>
    <w:rsid w:val="436112E1"/>
    <w:rsid w:val="436332AB"/>
    <w:rsid w:val="437E00E5"/>
    <w:rsid w:val="43853221"/>
    <w:rsid w:val="43EC32A0"/>
    <w:rsid w:val="43FB34E3"/>
    <w:rsid w:val="440305EA"/>
    <w:rsid w:val="44037F17"/>
    <w:rsid w:val="44043E2E"/>
    <w:rsid w:val="44621A8B"/>
    <w:rsid w:val="44653D7D"/>
    <w:rsid w:val="446E1F07"/>
    <w:rsid w:val="4493196E"/>
    <w:rsid w:val="449776B0"/>
    <w:rsid w:val="44B02520"/>
    <w:rsid w:val="44DB573C"/>
    <w:rsid w:val="44DB5A6E"/>
    <w:rsid w:val="44F35769"/>
    <w:rsid w:val="44F66746"/>
    <w:rsid w:val="451E1B7F"/>
    <w:rsid w:val="455C4456"/>
    <w:rsid w:val="456450B8"/>
    <w:rsid w:val="45806396"/>
    <w:rsid w:val="45B16E11"/>
    <w:rsid w:val="45C81AEB"/>
    <w:rsid w:val="46050649"/>
    <w:rsid w:val="462F3918"/>
    <w:rsid w:val="463201A3"/>
    <w:rsid w:val="464C07A8"/>
    <w:rsid w:val="468974CC"/>
    <w:rsid w:val="468D7C8B"/>
    <w:rsid w:val="469C7200"/>
    <w:rsid w:val="46B6508C"/>
    <w:rsid w:val="46DE4EC1"/>
    <w:rsid w:val="47002980"/>
    <w:rsid w:val="47006C7F"/>
    <w:rsid w:val="472B0583"/>
    <w:rsid w:val="473E2065"/>
    <w:rsid w:val="47573126"/>
    <w:rsid w:val="478101A3"/>
    <w:rsid w:val="478A7058"/>
    <w:rsid w:val="4794005E"/>
    <w:rsid w:val="47971775"/>
    <w:rsid w:val="47B440D5"/>
    <w:rsid w:val="47F6649C"/>
    <w:rsid w:val="484A2C8B"/>
    <w:rsid w:val="48584940"/>
    <w:rsid w:val="48677399"/>
    <w:rsid w:val="486E0728"/>
    <w:rsid w:val="488241D3"/>
    <w:rsid w:val="490270C2"/>
    <w:rsid w:val="491868E5"/>
    <w:rsid w:val="491D3EFC"/>
    <w:rsid w:val="493F6B8F"/>
    <w:rsid w:val="497C6E74"/>
    <w:rsid w:val="49A421EF"/>
    <w:rsid w:val="49A96558"/>
    <w:rsid w:val="49B02E39"/>
    <w:rsid w:val="49BA39C5"/>
    <w:rsid w:val="49C071EE"/>
    <w:rsid w:val="49F70C07"/>
    <w:rsid w:val="49FC7FB5"/>
    <w:rsid w:val="4A121587"/>
    <w:rsid w:val="4A273284"/>
    <w:rsid w:val="4A5120AF"/>
    <w:rsid w:val="4A595408"/>
    <w:rsid w:val="4A8C30E7"/>
    <w:rsid w:val="4ABD3A33"/>
    <w:rsid w:val="4AE42F23"/>
    <w:rsid w:val="4AF274A3"/>
    <w:rsid w:val="4B001D5A"/>
    <w:rsid w:val="4B0B04B0"/>
    <w:rsid w:val="4B1B63D4"/>
    <w:rsid w:val="4B1F7F77"/>
    <w:rsid w:val="4B217CD3"/>
    <w:rsid w:val="4B2E419E"/>
    <w:rsid w:val="4B5E0F27"/>
    <w:rsid w:val="4B6202EC"/>
    <w:rsid w:val="4B6A5545"/>
    <w:rsid w:val="4B893ACB"/>
    <w:rsid w:val="4B8A1D1C"/>
    <w:rsid w:val="4BB40B47"/>
    <w:rsid w:val="4BC002A6"/>
    <w:rsid w:val="4BC93EC7"/>
    <w:rsid w:val="4BD3407B"/>
    <w:rsid w:val="4BF0026D"/>
    <w:rsid w:val="4C6B4F7E"/>
    <w:rsid w:val="4C6E2397"/>
    <w:rsid w:val="4C991255"/>
    <w:rsid w:val="4CB44B77"/>
    <w:rsid w:val="4CF80F08"/>
    <w:rsid w:val="4D0E5362"/>
    <w:rsid w:val="4D1848E5"/>
    <w:rsid w:val="4D553C64"/>
    <w:rsid w:val="4D907392"/>
    <w:rsid w:val="4DAD3AA0"/>
    <w:rsid w:val="4DB7491F"/>
    <w:rsid w:val="4DB918C6"/>
    <w:rsid w:val="4DCB4491"/>
    <w:rsid w:val="4DE357AD"/>
    <w:rsid w:val="4DF547E3"/>
    <w:rsid w:val="4E1C4782"/>
    <w:rsid w:val="4E235B10"/>
    <w:rsid w:val="4E485577"/>
    <w:rsid w:val="4E600B13"/>
    <w:rsid w:val="4E8A17F3"/>
    <w:rsid w:val="4EA81D39"/>
    <w:rsid w:val="4EF212FC"/>
    <w:rsid w:val="4EF97632"/>
    <w:rsid w:val="4EFD0A57"/>
    <w:rsid w:val="4F3F2E1E"/>
    <w:rsid w:val="4F3F4BCC"/>
    <w:rsid w:val="4F9B4118"/>
    <w:rsid w:val="4FA964E9"/>
    <w:rsid w:val="4FD921BB"/>
    <w:rsid w:val="4FEB08B0"/>
    <w:rsid w:val="4FF76C7A"/>
    <w:rsid w:val="4FFC450D"/>
    <w:rsid w:val="503F6C44"/>
    <w:rsid w:val="50406E4E"/>
    <w:rsid w:val="506348EA"/>
    <w:rsid w:val="50AA2519"/>
    <w:rsid w:val="50DD7AF6"/>
    <w:rsid w:val="50EC48E0"/>
    <w:rsid w:val="50F32112"/>
    <w:rsid w:val="51312C3A"/>
    <w:rsid w:val="513B5867"/>
    <w:rsid w:val="51516E38"/>
    <w:rsid w:val="51850890"/>
    <w:rsid w:val="51A056CA"/>
    <w:rsid w:val="51B66C9C"/>
    <w:rsid w:val="51B77747"/>
    <w:rsid w:val="51F31C9E"/>
    <w:rsid w:val="51F40FEE"/>
    <w:rsid w:val="51FB0B52"/>
    <w:rsid w:val="52097713"/>
    <w:rsid w:val="520C3984"/>
    <w:rsid w:val="52146C33"/>
    <w:rsid w:val="521F254C"/>
    <w:rsid w:val="522757E2"/>
    <w:rsid w:val="522B3878"/>
    <w:rsid w:val="522F0184"/>
    <w:rsid w:val="523D60AD"/>
    <w:rsid w:val="524A4DD4"/>
    <w:rsid w:val="52754DA9"/>
    <w:rsid w:val="529E42FF"/>
    <w:rsid w:val="529E7E5B"/>
    <w:rsid w:val="52FA0ECB"/>
    <w:rsid w:val="53062AB8"/>
    <w:rsid w:val="532E323C"/>
    <w:rsid w:val="535D7EBA"/>
    <w:rsid w:val="536D782E"/>
    <w:rsid w:val="537E42B6"/>
    <w:rsid w:val="53837051"/>
    <w:rsid w:val="53846C5B"/>
    <w:rsid w:val="53915C12"/>
    <w:rsid w:val="53B02A11"/>
    <w:rsid w:val="53BB174D"/>
    <w:rsid w:val="53FB308C"/>
    <w:rsid w:val="540A6275"/>
    <w:rsid w:val="541A1764"/>
    <w:rsid w:val="544D1B39"/>
    <w:rsid w:val="5476123F"/>
    <w:rsid w:val="54A86D6F"/>
    <w:rsid w:val="54AB65A4"/>
    <w:rsid w:val="54AD082A"/>
    <w:rsid w:val="54CD2C7A"/>
    <w:rsid w:val="54EB4EAE"/>
    <w:rsid w:val="54F40207"/>
    <w:rsid w:val="55144405"/>
    <w:rsid w:val="55175CA3"/>
    <w:rsid w:val="55287EB0"/>
    <w:rsid w:val="554910BB"/>
    <w:rsid w:val="554D7917"/>
    <w:rsid w:val="556F5ADF"/>
    <w:rsid w:val="55711857"/>
    <w:rsid w:val="55C93441"/>
    <w:rsid w:val="55E95892"/>
    <w:rsid w:val="56192445"/>
    <w:rsid w:val="563C1E65"/>
    <w:rsid w:val="565C6063"/>
    <w:rsid w:val="566B62A7"/>
    <w:rsid w:val="56AB0D99"/>
    <w:rsid w:val="5717642E"/>
    <w:rsid w:val="57607DD5"/>
    <w:rsid w:val="57666DBE"/>
    <w:rsid w:val="57C2283E"/>
    <w:rsid w:val="57E02CC4"/>
    <w:rsid w:val="580469B3"/>
    <w:rsid w:val="5834675B"/>
    <w:rsid w:val="58584F50"/>
    <w:rsid w:val="585F008D"/>
    <w:rsid w:val="58673CD3"/>
    <w:rsid w:val="586C6806"/>
    <w:rsid w:val="587753D7"/>
    <w:rsid w:val="589A10C5"/>
    <w:rsid w:val="58AC6A11"/>
    <w:rsid w:val="58F17B0C"/>
    <w:rsid w:val="58F702C5"/>
    <w:rsid w:val="592941F7"/>
    <w:rsid w:val="593E5EF4"/>
    <w:rsid w:val="594828CF"/>
    <w:rsid w:val="596A0A97"/>
    <w:rsid w:val="598D0C2A"/>
    <w:rsid w:val="59C31F10"/>
    <w:rsid w:val="59D6437F"/>
    <w:rsid w:val="5A00764E"/>
    <w:rsid w:val="5A2A46CB"/>
    <w:rsid w:val="5A403EEE"/>
    <w:rsid w:val="5A4A022D"/>
    <w:rsid w:val="5A5E19FA"/>
    <w:rsid w:val="5A765EB2"/>
    <w:rsid w:val="5A9A1850"/>
    <w:rsid w:val="5AA93841"/>
    <w:rsid w:val="5AB20948"/>
    <w:rsid w:val="5AF2343A"/>
    <w:rsid w:val="5AF9719B"/>
    <w:rsid w:val="5B172EA1"/>
    <w:rsid w:val="5B1A64ED"/>
    <w:rsid w:val="5B2B4B80"/>
    <w:rsid w:val="5B3F5F54"/>
    <w:rsid w:val="5B4A5024"/>
    <w:rsid w:val="5B5038E4"/>
    <w:rsid w:val="5B5639C9"/>
    <w:rsid w:val="5B9E711E"/>
    <w:rsid w:val="5BAF6C35"/>
    <w:rsid w:val="5BE82147"/>
    <w:rsid w:val="5C2869E8"/>
    <w:rsid w:val="5C337866"/>
    <w:rsid w:val="5C392920"/>
    <w:rsid w:val="5C3D2493"/>
    <w:rsid w:val="5C482820"/>
    <w:rsid w:val="5C82434A"/>
    <w:rsid w:val="5CA95D7B"/>
    <w:rsid w:val="5CBA6FE3"/>
    <w:rsid w:val="5CD1707F"/>
    <w:rsid w:val="5D052098"/>
    <w:rsid w:val="5D26561D"/>
    <w:rsid w:val="5D3B5956"/>
    <w:rsid w:val="5D537A94"/>
    <w:rsid w:val="5D9D6B16"/>
    <w:rsid w:val="5DB46785"/>
    <w:rsid w:val="5DCA7D57"/>
    <w:rsid w:val="5DCF68D9"/>
    <w:rsid w:val="5DFA549D"/>
    <w:rsid w:val="5E1729F8"/>
    <w:rsid w:val="5E3B6EA6"/>
    <w:rsid w:val="5E433398"/>
    <w:rsid w:val="5E4A67A7"/>
    <w:rsid w:val="5E652175"/>
    <w:rsid w:val="5E9465B6"/>
    <w:rsid w:val="5EA762EA"/>
    <w:rsid w:val="5EBB7FE7"/>
    <w:rsid w:val="5ECA1FD8"/>
    <w:rsid w:val="5ECC5219"/>
    <w:rsid w:val="5EFD0600"/>
    <w:rsid w:val="5F0674B4"/>
    <w:rsid w:val="5F2824EF"/>
    <w:rsid w:val="5F2C67EF"/>
    <w:rsid w:val="5F322057"/>
    <w:rsid w:val="5F5024DD"/>
    <w:rsid w:val="5F546472"/>
    <w:rsid w:val="5F5C0E82"/>
    <w:rsid w:val="5F797C86"/>
    <w:rsid w:val="5F9A19AB"/>
    <w:rsid w:val="5FB54A36"/>
    <w:rsid w:val="5FBB34A5"/>
    <w:rsid w:val="5FF07169"/>
    <w:rsid w:val="5FF4730D"/>
    <w:rsid w:val="60341204"/>
    <w:rsid w:val="60561D75"/>
    <w:rsid w:val="6057789C"/>
    <w:rsid w:val="6058316A"/>
    <w:rsid w:val="607B17DC"/>
    <w:rsid w:val="60D84E80"/>
    <w:rsid w:val="61005DAE"/>
    <w:rsid w:val="610A2B60"/>
    <w:rsid w:val="611A2DA3"/>
    <w:rsid w:val="611D2893"/>
    <w:rsid w:val="61556B13"/>
    <w:rsid w:val="618040BD"/>
    <w:rsid w:val="619F774C"/>
    <w:rsid w:val="61A15272"/>
    <w:rsid w:val="61C55405"/>
    <w:rsid w:val="61EE30B2"/>
    <w:rsid w:val="61FC1B54"/>
    <w:rsid w:val="61FC694D"/>
    <w:rsid w:val="62157A0E"/>
    <w:rsid w:val="62487DE4"/>
    <w:rsid w:val="626A5FAC"/>
    <w:rsid w:val="626A6F1C"/>
    <w:rsid w:val="626D33A6"/>
    <w:rsid w:val="62830E1C"/>
    <w:rsid w:val="62B17737"/>
    <w:rsid w:val="63076E8E"/>
    <w:rsid w:val="630E6937"/>
    <w:rsid w:val="63497970"/>
    <w:rsid w:val="636044AF"/>
    <w:rsid w:val="63715118"/>
    <w:rsid w:val="63894210"/>
    <w:rsid w:val="63911317"/>
    <w:rsid w:val="63B84AF5"/>
    <w:rsid w:val="63CF256B"/>
    <w:rsid w:val="63D86F45"/>
    <w:rsid w:val="63FC2C34"/>
    <w:rsid w:val="64121310"/>
    <w:rsid w:val="641E0DFC"/>
    <w:rsid w:val="64395C36"/>
    <w:rsid w:val="644E7796"/>
    <w:rsid w:val="6477675E"/>
    <w:rsid w:val="64C51278"/>
    <w:rsid w:val="64DA2FB8"/>
    <w:rsid w:val="64E04304"/>
    <w:rsid w:val="650C3683"/>
    <w:rsid w:val="65515201"/>
    <w:rsid w:val="657F1D6E"/>
    <w:rsid w:val="664B1C0C"/>
    <w:rsid w:val="664D7108"/>
    <w:rsid w:val="667A4E89"/>
    <w:rsid w:val="667C005C"/>
    <w:rsid w:val="66886A01"/>
    <w:rsid w:val="668C4743"/>
    <w:rsid w:val="66AF21DF"/>
    <w:rsid w:val="66B07D06"/>
    <w:rsid w:val="66D32372"/>
    <w:rsid w:val="67A4786A"/>
    <w:rsid w:val="67A535E2"/>
    <w:rsid w:val="67D363A2"/>
    <w:rsid w:val="67E45EB9"/>
    <w:rsid w:val="67EC148B"/>
    <w:rsid w:val="680E2F36"/>
    <w:rsid w:val="681A18DB"/>
    <w:rsid w:val="68476448"/>
    <w:rsid w:val="68580655"/>
    <w:rsid w:val="68996CA3"/>
    <w:rsid w:val="689F6284"/>
    <w:rsid w:val="68C47A98"/>
    <w:rsid w:val="68C53F3C"/>
    <w:rsid w:val="68D24040"/>
    <w:rsid w:val="68E048D2"/>
    <w:rsid w:val="68F42855"/>
    <w:rsid w:val="68FC7232"/>
    <w:rsid w:val="69004F74"/>
    <w:rsid w:val="69252556"/>
    <w:rsid w:val="693D1D24"/>
    <w:rsid w:val="69564B94"/>
    <w:rsid w:val="69906AC8"/>
    <w:rsid w:val="69A90FF2"/>
    <w:rsid w:val="69BA33D8"/>
    <w:rsid w:val="69D32689"/>
    <w:rsid w:val="69E003B2"/>
    <w:rsid w:val="69E20ACE"/>
    <w:rsid w:val="69F83E9D"/>
    <w:rsid w:val="6A042842"/>
    <w:rsid w:val="6A486BD3"/>
    <w:rsid w:val="6A5F216E"/>
    <w:rsid w:val="6A7E57FA"/>
    <w:rsid w:val="6A9D3E45"/>
    <w:rsid w:val="6AAA163C"/>
    <w:rsid w:val="6AB73D58"/>
    <w:rsid w:val="6AD101A6"/>
    <w:rsid w:val="6B032AFA"/>
    <w:rsid w:val="6B1A7B12"/>
    <w:rsid w:val="6B41374B"/>
    <w:rsid w:val="6B516FCB"/>
    <w:rsid w:val="6B6E578F"/>
    <w:rsid w:val="6B9B2D32"/>
    <w:rsid w:val="6BC95AF1"/>
    <w:rsid w:val="6BCE3108"/>
    <w:rsid w:val="6C0E79A8"/>
    <w:rsid w:val="6C264CF2"/>
    <w:rsid w:val="6C3A079D"/>
    <w:rsid w:val="6C580C23"/>
    <w:rsid w:val="6C927A96"/>
    <w:rsid w:val="6CAB3449"/>
    <w:rsid w:val="6CB0280D"/>
    <w:rsid w:val="6CC53401"/>
    <w:rsid w:val="6CCD7863"/>
    <w:rsid w:val="6CCF5389"/>
    <w:rsid w:val="6CDE737B"/>
    <w:rsid w:val="6CE6268E"/>
    <w:rsid w:val="6CED42EF"/>
    <w:rsid w:val="6CED5810"/>
    <w:rsid w:val="6CF546C4"/>
    <w:rsid w:val="6D600DBC"/>
    <w:rsid w:val="6D6367FF"/>
    <w:rsid w:val="6DAF51BB"/>
    <w:rsid w:val="6DD16EDF"/>
    <w:rsid w:val="6E1928D8"/>
    <w:rsid w:val="6E2D1255"/>
    <w:rsid w:val="6E4771A1"/>
    <w:rsid w:val="6E6A2D2F"/>
    <w:rsid w:val="6E970129"/>
    <w:rsid w:val="6EAB14DE"/>
    <w:rsid w:val="6F194DD5"/>
    <w:rsid w:val="6F451933"/>
    <w:rsid w:val="6F481423"/>
    <w:rsid w:val="6F771C4F"/>
    <w:rsid w:val="6FA0300D"/>
    <w:rsid w:val="6FCF56A0"/>
    <w:rsid w:val="700417EE"/>
    <w:rsid w:val="70095648"/>
    <w:rsid w:val="700E441B"/>
    <w:rsid w:val="703E6382"/>
    <w:rsid w:val="705931BC"/>
    <w:rsid w:val="705A7660"/>
    <w:rsid w:val="70A87CEF"/>
    <w:rsid w:val="70B63FFD"/>
    <w:rsid w:val="70B825D8"/>
    <w:rsid w:val="70D32F6E"/>
    <w:rsid w:val="71092E34"/>
    <w:rsid w:val="710B44B6"/>
    <w:rsid w:val="710D46D2"/>
    <w:rsid w:val="71237A52"/>
    <w:rsid w:val="713F0604"/>
    <w:rsid w:val="71597119"/>
    <w:rsid w:val="716360A0"/>
    <w:rsid w:val="71C07997"/>
    <w:rsid w:val="71C75807"/>
    <w:rsid w:val="71E05943"/>
    <w:rsid w:val="71E847F7"/>
    <w:rsid w:val="72037883"/>
    <w:rsid w:val="721F026F"/>
    <w:rsid w:val="7238752D"/>
    <w:rsid w:val="72536115"/>
    <w:rsid w:val="727501DA"/>
    <w:rsid w:val="72916C3D"/>
    <w:rsid w:val="729329B5"/>
    <w:rsid w:val="72D26016"/>
    <w:rsid w:val="72E17BC5"/>
    <w:rsid w:val="72FD0776"/>
    <w:rsid w:val="7306587D"/>
    <w:rsid w:val="731004AA"/>
    <w:rsid w:val="7315525E"/>
    <w:rsid w:val="731A30D6"/>
    <w:rsid w:val="73252D57"/>
    <w:rsid w:val="7336650F"/>
    <w:rsid w:val="733817AF"/>
    <w:rsid w:val="73441F01"/>
    <w:rsid w:val="736305DA"/>
    <w:rsid w:val="73720B9C"/>
    <w:rsid w:val="73726A6F"/>
    <w:rsid w:val="737E619C"/>
    <w:rsid w:val="7386076C"/>
    <w:rsid w:val="73974727"/>
    <w:rsid w:val="73B928EF"/>
    <w:rsid w:val="73DE2356"/>
    <w:rsid w:val="73E74DB8"/>
    <w:rsid w:val="73E831D5"/>
    <w:rsid w:val="73ED4347"/>
    <w:rsid w:val="73F705A7"/>
    <w:rsid w:val="743B0588"/>
    <w:rsid w:val="74444DFA"/>
    <w:rsid w:val="748C590E"/>
    <w:rsid w:val="7491561A"/>
    <w:rsid w:val="74AC5FB0"/>
    <w:rsid w:val="74C257D4"/>
    <w:rsid w:val="74DC4AE7"/>
    <w:rsid w:val="752124FA"/>
    <w:rsid w:val="75660855"/>
    <w:rsid w:val="75703482"/>
    <w:rsid w:val="762F50EB"/>
    <w:rsid w:val="76326989"/>
    <w:rsid w:val="76674885"/>
    <w:rsid w:val="76960CC6"/>
    <w:rsid w:val="769A6A08"/>
    <w:rsid w:val="76C83012"/>
    <w:rsid w:val="76DE256D"/>
    <w:rsid w:val="76DE441B"/>
    <w:rsid w:val="76DF08BF"/>
    <w:rsid w:val="77073290"/>
    <w:rsid w:val="773E7BB3"/>
    <w:rsid w:val="774B4EF3"/>
    <w:rsid w:val="77534E09"/>
    <w:rsid w:val="775E2AF9"/>
    <w:rsid w:val="77690189"/>
    <w:rsid w:val="777032C5"/>
    <w:rsid w:val="777D1985"/>
    <w:rsid w:val="777D59E2"/>
    <w:rsid w:val="77815E20"/>
    <w:rsid w:val="778B6351"/>
    <w:rsid w:val="77BF00AD"/>
    <w:rsid w:val="77E30B91"/>
    <w:rsid w:val="77EE03F3"/>
    <w:rsid w:val="77F5088C"/>
    <w:rsid w:val="78210A63"/>
    <w:rsid w:val="78354754"/>
    <w:rsid w:val="7868724C"/>
    <w:rsid w:val="78917997"/>
    <w:rsid w:val="78BE5E78"/>
    <w:rsid w:val="78EE782F"/>
    <w:rsid w:val="78FD502C"/>
    <w:rsid w:val="790C5A7A"/>
    <w:rsid w:val="790E0FE8"/>
    <w:rsid w:val="79110AD8"/>
    <w:rsid w:val="79153CDF"/>
    <w:rsid w:val="79206F6D"/>
    <w:rsid w:val="79246A5D"/>
    <w:rsid w:val="79247C05"/>
    <w:rsid w:val="79334AFD"/>
    <w:rsid w:val="7940584E"/>
    <w:rsid w:val="794C1B10"/>
    <w:rsid w:val="795F7A95"/>
    <w:rsid w:val="797A3B55"/>
    <w:rsid w:val="79A100AE"/>
    <w:rsid w:val="79C142AC"/>
    <w:rsid w:val="79CD0EA3"/>
    <w:rsid w:val="79D95BF8"/>
    <w:rsid w:val="79F521A7"/>
    <w:rsid w:val="7A0128FA"/>
    <w:rsid w:val="7A0D74F1"/>
    <w:rsid w:val="7A1E05F1"/>
    <w:rsid w:val="7A241DBB"/>
    <w:rsid w:val="7A432F13"/>
    <w:rsid w:val="7A4B0019"/>
    <w:rsid w:val="7A71527F"/>
    <w:rsid w:val="7AA5772A"/>
    <w:rsid w:val="7ACF0C4A"/>
    <w:rsid w:val="7AD65B35"/>
    <w:rsid w:val="7AD7365B"/>
    <w:rsid w:val="7AFF26A4"/>
    <w:rsid w:val="7B103A01"/>
    <w:rsid w:val="7B260C78"/>
    <w:rsid w:val="7B350609"/>
    <w:rsid w:val="7B5229BB"/>
    <w:rsid w:val="7B537186"/>
    <w:rsid w:val="7B9A431E"/>
    <w:rsid w:val="7BB8348D"/>
    <w:rsid w:val="7BE10C35"/>
    <w:rsid w:val="7BE91898"/>
    <w:rsid w:val="7BEB1DAB"/>
    <w:rsid w:val="7BF2699E"/>
    <w:rsid w:val="7C1508DF"/>
    <w:rsid w:val="7C1A4147"/>
    <w:rsid w:val="7C1D7794"/>
    <w:rsid w:val="7C3F770A"/>
    <w:rsid w:val="7C5E147E"/>
    <w:rsid w:val="7C662EE9"/>
    <w:rsid w:val="7C7A4BE6"/>
    <w:rsid w:val="7C81236F"/>
    <w:rsid w:val="7C9F63FA"/>
    <w:rsid w:val="7CD12A58"/>
    <w:rsid w:val="7D022270"/>
    <w:rsid w:val="7D244CB3"/>
    <w:rsid w:val="7D2D104F"/>
    <w:rsid w:val="7D2F777E"/>
    <w:rsid w:val="7D957F29"/>
    <w:rsid w:val="7D9F2B56"/>
    <w:rsid w:val="7DAE3F99"/>
    <w:rsid w:val="7DB639FC"/>
    <w:rsid w:val="7DEC3279"/>
    <w:rsid w:val="7E261E8E"/>
    <w:rsid w:val="7E49619F"/>
    <w:rsid w:val="7E576F8D"/>
    <w:rsid w:val="7E6671D0"/>
    <w:rsid w:val="7E755665"/>
    <w:rsid w:val="7EA146AC"/>
    <w:rsid w:val="7EA1645A"/>
    <w:rsid w:val="7EAD12A3"/>
    <w:rsid w:val="7EC025D0"/>
    <w:rsid w:val="7ED93811"/>
    <w:rsid w:val="7F0215EE"/>
    <w:rsid w:val="7F0445F8"/>
    <w:rsid w:val="7F080287"/>
    <w:rsid w:val="7F10538E"/>
    <w:rsid w:val="7F17671C"/>
    <w:rsid w:val="7F364071"/>
    <w:rsid w:val="7F4C4618"/>
    <w:rsid w:val="7F6C4CBA"/>
    <w:rsid w:val="7F7818B1"/>
    <w:rsid w:val="7F8A3392"/>
    <w:rsid w:val="7FA206DC"/>
    <w:rsid w:val="7FC5261C"/>
    <w:rsid w:val="7FF16F6D"/>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40" w:after="240" w:line="300" w:lineRule="auto"/>
      <w:jc w:val="center"/>
      <w:outlineLvl w:val="0"/>
    </w:pPr>
    <w:rPr>
      <w:rFonts w:ascii="Calibri" w:hAnsi="Calibri"/>
      <w:kern w:val="44"/>
      <w:sz w:val="28"/>
    </w:rPr>
  </w:style>
  <w:style w:type="paragraph" w:styleId="3">
    <w:name w:val="heading 2"/>
    <w:basedOn w:val="1"/>
    <w:next w:val="1"/>
    <w:qFormat/>
    <w:uiPriority w:val="0"/>
    <w:pPr>
      <w:keepNext/>
      <w:keepLines/>
      <w:spacing w:before="260" w:after="260" w:line="276" w:lineRule="auto"/>
      <w:jc w:val="left"/>
      <w:outlineLvl w:val="1"/>
    </w:pPr>
    <w:rPr>
      <w:rFonts w:ascii="Arial" w:hAnsi="Arial"/>
      <w:sz w:val="24"/>
    </w:rPr>
  </w:style>
  <w:style w:type="paragraph" w:styleId="4">
    <w:name w:val="heading 3"/>
    <w:basedOn w:val="1"/>
    <w:next w:val="5"/>
    <w:qFormat/>
    <w:uiPriority w:val="0"/>
    <w:pPr>
      <w:keepNext/>
      <w:keepLines/>
      <w:spacing w:before="200" w:after="200"/>
      <w:outlineLvl w:val="2"/>
    </w:pPr>
    <w:rPr>
      <w:rFonts w:ascii="Calibri" w:hAnsi="Calibri" w:eastAsia="黑体"/>
      <w:sz w:val="30"/>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rPr>
  </w:style>
  <w:style w:type="paragraph" w:styleId="7">
    <w:name w:val="table of authorities"/>
    <w:basedOn w:val="1"/>
    <w:next w:val="1"/>
    <w:qFormat/>
    <w:uiPriority w:val="99"/>
    <w:pPr>
      <w:ind w:left="420" w:leftChars="200"/>
    </w:pPr>
  </w:style>
  <w:style w:type="paragraph" w:styleId="8">
    <w:name w:val="annotation text"/>
    <w:basedOn w:val="1"/>
    <w:link w:val="65"/>
    <w:qFormat/>
    <w:uiPriority w:val="0"/>
    <w:pPr>
      <w:jc w:val="left"/>
    </w:pPr>
  </w:style>
  <w:style w:type="paragraph" w:styleId="9">
    <w:name w:val="Body Text 3"/>
    <w:basedOn w:val="1"/>
    <w:qFormat/>
    <w:uiPriority w:val="0"/>
    <w:rPr>
      <w:rFonts w:ascii="宋体"/>
      <w:sz w:val="24"/>
    </w:rPr>
  </w:style>
  <w:style w:type="paragraph" w:styleId="10">
    <w:name w:val="Body Text"/>
    <w:basedOn w:val="1"/>
    <w:next w:val="11"/>
    <w:qFormat/>
    <w:uiPriority w:val="0"/>
    <w:pPr>
      <w:spacing w:after="120"/>
    </w:pPr>
    <w:rPr>
      <w:szCs w:val="24"/>
    </w:rPr>
  </w:style>
  <w:style w:type="paragraph" w:styleId="11">
    <w:name w:val="Body Text 2"/>
    <w:basedOn w:val="1"/>
    <w:next w:val="10"/>
    <w:qFormat/>
    <w:uiPriority w:val="0"/>
    <w:pPr>
      <w:spacing w:line="360" w:lineRule="auto"/>
      <w:ind w:right="26"/>
    </w:pPr>
    <w:rPr>
      <w:rFonts w:ascii="宋体"/>
    </w:rPr>
  </w:style>
  <w:style w:type="paragraph" w:styleId="12">
    <w:name w:val="Body Text Indent"/>
    <w:basedOn w:val="1"/>
    <w:qFormat/>
    <w:uiPriority w:val="0"/>
    <w:pPr>
      <w:ind w:firstLine="720" w:firstLineChars="225"/>
    </w:pPr>
    <w:rPr>
      <w:sz w:val="32"/>
      <w:szCs w:val="24"/>
    </w:rPr>
  </w:style>
  <w:style w:type="paragraph" w:styleId="13">
    <w:name w:val="List 2"/>
    <w:basedOn w:val="1"/>
    <w:qFormat/>
    <w:uiPriority w:val="0"/>
    <w:pPr>
      <w:ind w:left="100" w:leftChars="200" w:hanging="200" w:hangingChars="200"/>
    </w:pPr>
  </w:style>
  <w:style w:type="paragraph" w:styleId="14">
    <w:name w:val="toc 3"/>
    <w:basedOn w:val="10"/>
    <w:next w:val="1"/>
    <w:qFormat/>
    <w:uiPriority w:val="39"/>
    <w:pPr>
      <w:spacing w:after="0"/>
      <w:ind w:left="400" w:leftChars="400"/>
      <w:jc w:val="right"/>
    </w:pPr>
    <w:rPr>
      <w:rFonts w:eastAsia="黑体"/>
      <w:sz w:val="24"/>
    </w:rPr>
  </w:style>
  <w:style w:type="paragraph" w:styleId="15">
    <w:name w:val="Plain Text"/>
    <w:basedOn w:val="1"/>
    <w:qFormat/>
    <w:uiPriority w:val="0"/>
    <w:rPr>
      <w:rFonts w:ascii="宋体" w:hAnsi="Courier New"/>
    </w:rPr>
  </w:style>
  <w:style w:type="paragraph" w:styleId="16">
    <w:name w:val="Balloon Text"/>
    <w:basedOn w:val="1"/>
    <w:link w:val="64"/>
    <w:qFormat/>
    <w:uiPriority w:val="0"/>
    <w:rPr>
      <w:sz w:val="18"/>
      <w:szCs w:val="18"/>
    </w:rPr>
  </w:style>
  <w:style w:type="paragraph" w:styleId="17">
    <w:name w:val="footer"/>
    <w:basedOn w:val="1"/>
    <w:qFormat/>
    <w:uiPriority w:val="99"/>
    <w:pPr>
      <w:tabs>
        <w:tab w:val="center" w:pos="4153"/>
        <w:tab w:val="right" w:pos="8306"/>
      </w:tabs>
      <w:snapToGrid w:val="0"/>
      <w:jc w:val="left"/>
    </w:pPr>
    <w:rPr>
      <w:rFonts w:eastAsia="Times New Roman"/>
      <w:sz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99"/>
    <w:pPr>
      <w:pBdr>
        <w:bottom w:val="single" w:color="auto" w:sz="6" w:space="1"/>
      </w:pBdr>
      <w:tabs>
        <w:tab w:val="center" w:pos="4153"/>
        <w:tab w:val="right" w:pos="8306"/>
      </w:tabs>
      <w:snapToGrid w:val="0"/>
      <w:jc w:val="center"/>
    </w:pPr>
    <w:rPr>
      <w:rFonts w:eastAsia="Times New Roman"/>
      <w:sz w:val="18"/>
    </w:rPr>
  </w:style>
  <w:style w:type="paragraph" w:styleId="20">
    <w:name w:val="toc 1"/>
    <w:basedOn w:val="1"/>
    <w:next w:val="1"/>
    <w:qFormat/>
    <w:uiPriority w:val="39"/>
    <w:pPr>
      <w:jc w:val="right"/>
    </w:pPr>
    <w:rPr>
      <w:rFonts w:ascii="Calibri" w:hAnsi="Calibri" w:eastAsia="黑体"/>
      <w:sz w:val="30"/>
    </w:rPr>
  </w:style>
  <w:style w:type="paragraph" w:styleId="21">
    <w:name w:val="toc 4"/>
    <w:basedOn w:val="1"/>
    <w:next w:val="1"/>
    <w:qFormat/>
    <w:uiPriority w:val="0"/>
    <w:pPr>
      <w:ind w:left="630"/>
      <w:jc w:val="left"/>
    </w:pPr>
    <w:rPr>
      <w:sz w:val="18"/>
      <w:szCs w:val="18"/>
    </w:rPr>
  </w:style>
  <w:style w:type="paragraph" w:styleId="22">
    <w:name w:val="toc 6"/>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23">
    <w:name w:val="Body Text Indent 3"/>
    <w:basedOn w:val="1"/>
    <w:qFormat/>
    <w:uiPriority w:val="0"/>
    <w:pPr>
      <w:ind w:firstLine="630"/>
    </w:pPr>
    <w:rPr>
      <w:rFonts w:eastAsia="仿宋_GB2312"/>
      <w:sz w:val="28"/>
    </w:rPr>
  </w:style>
  <w:style w:type="paragraph" w:styleId="24">
    <w:name w:val="table of figures"/>
    <w:basedOn w:val="1"/>
    <w:next w:val="1"/>
    <w:qFormat/>
    <w:uiPriority w:val="0"/>
    <w:pPr>
      <w:ind w:left="200" w:leftChars="200" w:hanging="200" w:hangingChars="200"/>
    </w:pPr>
  </w:style>
  <w:style w:type="paragraph" w:styleId="25">
    <w:name w:val="toc 2"/>
    <w:basedOn w:val="1"/>
    <w:next w:val="1"/>
    <w:qFormat/>
    <w:uiPriority w:val="39"/>
    <w:pPr>
      <w:tabs>
        <w:tab w:val="right" w:leader="dot" w:pos="9435"/>
      </w:tabs>
      <w:ind w:left="200" w:leftChars="200"/>
      <w:jc w:val="right"/>
    </w:pPr>
    <w:rPr>
      <w:rFonts w:eastAsia="黑体"/>
      <w:sz w:val="28"/>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annotation subject"/>
    <w:basedOn w:val="8"/>
    <w:next w:val="8"/>
    <w:link w:val="66"/>
    <w:qFormat/>
    <w:uiPriority w:val="0"/>
    <w:rPr>
      <w:b/>
      <w:bCs/>
    </w:rPr>
  </w:style>
  <w:style w:type="paragraph" w:styleId="28">
    <w:name w:val="Body Text First Indent"/>
    <w:basedOn w:val="10"/>
    <w:next w:val="29"/>
    <w:qFormat/>
    <w:uiPriority w:val="0"/>
    <w:pPr>
      <w:ind w:firstLine="420" w:firstLineChars="100"/>
    </w:pPr>
  </w:style>
  <w:style w:type="paragraph" w:styleId="29">
    <w:name w:val="Body Text First Indent 2"/>
    <w:basedOn w:val="12"/>
    <w:qFormat/>
    <w:uiPriority w:val="0"/>
    <w:pPr>
      <w:ind w:firstLine="420" w:firstLineChars="2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style>
  <w:style w:type="character" w:styleId="34">
    <w:name w:val="FollowedHyperlink"/>
    <w:basedOn w:val="32"/>
    <w:qFormat/>
    <w:uiPriority w:val="0"/>
    <w:rPr>
      <w:color w:val="800080"/>
      <w:u w:val="none"/>
    </w:rPr>
  </w:style>
  <w:style w:type="character" w:styleId="35">
    <w:name w:val="Emphasis"/>
    <w:basedOn w:val="32"/>
    <w:qFormat/>
    <w:uiPriority w:val="0"/>
  </w:style>
  <w:style w:type="character" w:styleId="36">
    <w:name w:val="HTML Definition"/>
    <w:basedOn w:val="32"/>
    <w:qFormat/>
    <w:uiPriority w:val="0"/>
  </w:style>
  <w:style w:type="character" w:styleId="37">
    <w:name w:val="HTML Typewriter"/>
    <w:basedOn w:val="32"/>
    <w:qFormat/>
    <w:uiPriority w:val="0"/>
    <w:rPr>
      <w:rFonts w:hint="default"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qFormat/>
    <w:uiPriority w:val="99"/>
    <w:rPr>
      <w:color w:val="444444"/>
      <w:sz w:val="21"/>
      <w:szCs w:val="21"/>
      <w:u w:val="none"/>
    </w:rPr>
  </w:style>
  <w:style w:type="character" w:styleId="41">
    <w:name w:val="HTML Code"/>
    <w:basedOn w:val="32"/>
    <w:qFormat/>
    <w:uiPriority w:val="0"/>
    <w:rPr>
      <w:rFonts w:ascii="monospace" w:hAnsi="monospace" w:eastAsia="monospace" w:cs="monospace"/>
      <w:sz w:val="20"/>
    </w:rPr>
  </w:style>
  <w:style w:type="character" w:styleId="42">
    <w:name w:val="annotation reference"/>
    <w:basedOn w:val="32"/>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qFormat/>
    <w:uiPriority w:val="0"/>
    <w:rPr>
      <w:rFonts w:hint="default" w:ascii="monospace" w:hAnsi="monospace" w:eastAsia="monospace" w:cs="monospace"/>
    </w:rPr>
  </w:style>
  <w:style w:type="paragraph" w:customStyle="1" w:styleId="46">
    <w:name w:val="Default"/>
    <w:next w:val="24"/>
    <w:qFormat/>
    <w:uiPriority w:val="0"/>
    <w:pPr>
      <w:widowControl w:val="0"/>
      <w:autoSpaceDE w:val="0"/>
      <w:autoSpaceDN w:val="0"/>
      <w:adjustRightInd w:val="0"/>
    </w:pPr>
    <w:rPr>
      <w:rFonts w:ascii="Calibri" w:hAnsi="Calibri" w:eastAsia="等线" w:cs="Calibri"/>
      <w:color w:val="000000"/>
      <w:sz w:val="24"/>
      <w:szCs w:val="24"/>
      <w:lang w:val="en-US" w:eastAsia="zh-CN" w:bidi="ar-SA"/>
    </w:rPr>
  </w:style>
  <w:style w:type="paragraph" w:customStyle="1" w:styleId="47">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paragraph" w:customStyle="1" w:styleId="48">
    <w:name w:val="表格文字"/>
    <w:basedOn w:val="1"/>
    <w:next w:val="10"/>
    <w:qFormat/>
    <w:uiPriority w:val="0"/>
    <w:pPr>
      <w:adjustRightInd w:val="0"/>
      <w:spacing w:line="420" w:lineRule="atLeast"/>
      <w:textAlignment w:val="baseline"/>
    </w:pPr>
    <w:rPr>
      <w:szCs w:val="20"/>
    </w:rPr>
  </w:style>
  <w:style w:type="paragraph" w:customStyle="1" w:styleId="49">
    <w:name w:val="No Spacing1"/>
    <w:basedOn w:val="1"/>
    <w:qFormat/>
    <w:uiPriority w:val="1"/>
    <w:pPr>
      <w:spacing w:line="400" w:lineRule="exact"/>
      <w:jc w:val="center"/>
    </w:pPr>
    <w:rPr>
      <w:szCs w:val="32"/>
    </w:rPr>
  </w:style>
  <w:style w:type="paragraph" w:customStyle="1" w:styleId="50">
    <w:name w:val="style4"/>
    <w:basedOn w:val="1"/>
    <w:next w:val="51"/>
    <w:qFormat/>
    <w:uiPriority w:val="0"/>
    <w:pPr>
      <w:spacing w:before="280" w:after="280"/>
    </w:pPr>
    <w:rPr>
      <w:rFonts w:ascii="宋体"/>
      <w:sz w:val="18"/>
    </w:rPr>
  </w:style>
  <w:style w:type="paragraph" w:customStyle="1" w:styleId="5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2">
    <w:name w:val="List Paragraph"/>
    <w:basedOn w:val="1"/>
    <w:qFormat/>
    <w:uiPriority w:val="99"/>
    <w:pPr>
      <w:ind w:firstLine="420" w:firstLineChars="200"/>
    </w:pPr>
  </w:style>
  <w:style w:type="character" w:customStyle="1" w:styleId="53">
    <w:name w:val="标题 1 Char Char"/>
    <w:qFormat/>
    <w:uiPriority w:val="0"/>
    <w:rPr>
      <w:rFonts w:ascii="Calibri" w:hAnsi="Calibri" w:eastAsia="黑体"/>
      <w:kern w:val="44"/>
      <w:sz w:val="32"/>
    </w:rPr>
  </w:style>
  <w:style w:type="paragraph" w:customStyle="1" w:styleId="54">
    <w:name w:val="样式 标题 3 + (中文) 黑体 小四 非加粗 段前: 7.8 磅 段后: 0 磅 行距: 固定值 20 磅"/>
    <w:basedOn w:val="4"/>
    <w:qFormat/>
    <w:uiPriority w:val="0"/>
    <w:pPr>
      <w:spacing w:before="0" w:after="0" w:line="400" w:lineRule="exact"/>
    </w:pPr>
    <w:rPr>
      <w:rFonts w:ascii="Times New Roman" w:hAnsi="Times New Roman"/>
      <w:sz w:val="24"/>
    </w:rPr>
  </w:style>
  <w:style w:type="paragraph" w:customStyle="1" w:styleId="55">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Table Paragraph"/>
    <w:basedOn w:val="1"/>
    <w:qFormat/>
    <w:uiPriority w:val="1"/>
    <w:rPr>
      <w:rFonts w:ascii="宋体" w:hAnsi="宋体" w:cs="宋体"/>
      <w:lang w:val="zh-CN" w:bidi="zh-CN"/>
    </w:rPr>
  </w:style>
  <w:style w:type="character" w:customStyle="1" w:styleId="59">
    <w:name w:val="标题 4 Char"/>
    <w:link w:val="6"/>
    <w:qFormat/>
    <w:uiPriority w:val="0"/>
    <w:rPr>
      <w:rFonts w:ascii="Arial" w:hAnsi="Arial" w:eastAsia="黑体"/>
      <w:b/>
      <w:bCs/>
      <w:sz w:val="28"/>
      <w:szCs w:val="28"/>
    </w:rPr>
  </w:style>
  <w:style w:type="paragraph" w:customStyle="1" w:styleId="60">
    <w:name w:val="表内文字居中"/>
    <w:basedOn w:val="1"/>
    <w:qFormat/>
    <w:uiPriority w:val="0"/>
    <w:pPr>
      <w:snapToGrid w:val="0"/>
      <w:jc w:val="center"/>
    </w:pPr>
    <w:rPr>
      <w:rFonts w:eastAsia="方正书宋简体"/>
      <w:spacing w:val="4"/>
      <w:szCs w:val="21"/>
    </w:rPr>
  </w:style>
  <w:style w:type="paragraph" w:customStyle="1" w:styleId="6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hover14"/>
    <w:basedOn w:val="32"/>
    <w:qFormat/>
    <w:uiPriority w:val="0"/>
  </w:style>
  <w:style w:type="character" w:customStyle="1" w:styleId="63">
    <w:name w:val="hover17"/>
    <w:basedOn w:val="32"/>
    <w:qFormat/>
    <w:uiPriority w:val="0"/>
  </w:style>
  <w:style w:type="character" w:customStyle="1" w:styleId="64">
    <w:name w:val="批注框文本 Char"/>
    <w:basedOn w:val="32"/>
    <w:link w:val="16"/>
    <w:qFormat/>
    <w:uiPriority w:val="0"/>
    <w:rPr>
      <w:kern w:val="2"/>
      <w:sz w:val="18"/>
      <w:szCs w:val="18"/>
    </w:rPr>
  </w:style>
  <w:style w:type="character" w:customStyle="1" w:styleId="65">
    <w:name w:val="批注文字 Char"/>
    <w:basedOn w:val="32"/>
    <w:link w:val="8"/>
    <w:qFormat/>
    <w:uiPriority w:val="0"/>
    <w:rPr>
      <w:kern w:val="2"/>
      <w:sz w:val="21"/>
    </w:rPr>
  </w:style>
  <w:style w:type="character" w:customStyle="1" w:styleId="66">
    <w:name w:val="批注主题 Char"/>
    <w:basedOn w:val="65"/>
    <w:link w:val="27"/>
    <w:qFormat/>
    <w:uiPriority w:val="0"/>
    <w:rPr>
      <w:b/>
      <w:bCs/>
      <w:kern w:val="2"/>
      <w:sz w:val="21"/>
    </w:rPr>
  </w:style>
  <w:style w:type="paragraph" w:customStyle="1" w:styleId="67">
    <w:name w:val="列出段落1"/>
    <w:basedOn w:val="1"/>
    <w:qFormat/>
    <w:uiPriority w:val="0"/>
    <w:pPr>
      <w:ind w:firstLine="420" w:firstLineChars="200"/>
    </w:pPr>
    <w:rPr>
      <w:szCs w:val="24"/>
    </w:rPr>
  </w:style>
  <w:style w:type="paragraph" w:customStyle="1" w:styleId="68">
    <w:name w:val="Revision"/>
    <w:hidden/>
    <w:semiHidden/>
    <w:qFormat/>
    <w:uiPriority w:val="99"/>
    <w:rPr>
      <w:rFonts w:ascii="Times New Roman" w:hAnsi="Times New Roman" w:eastAsia="宋体" w:cs="Times New Roman"/>
      <w:kern w:val="2"/>
      <w:sz w:val="21"/>
      <w:lang w:val="en-US" w:eastAsia="zh-CN" w:bidi="ar-SA"/>
    </w:rPr>
  </w:style>
  <w:style w:type="paragraph" w:customStyle="1" w:styleId="69">
    <w:name w:val="Pa8"/>
    <w:basedOn w:val="1"/>
    <w:next w:val="1"/>
    <w:qFormat/>
    <w:uiPriority w:val="99"/>
    <w:pPr>
      <w:autoSpaceDE w:val="0"/>
      <w:autoSpaceDN w:val="0"/>
      <w:adjustRightInd w:val="0"/>
      <w:spacing w:line="161" w:lineRule="atLeast"/>
      <w:jc w:val="left"/>
    </w:pPr>
    <w:rPr>
      <w:rFonts w:ascii="......" w:hAnsi="Calibri" w:eastAsia="......" w:cs="Times New Roman"/>
      <w:kern w:val="0"/>
      <w:sz w:val="24"/>
    </w:rPr>
  </w:style>
  <w:style w:type="character" w:customStyle="1" w:styleId="70">
    <w:name w:val="sugg-loading"/>
    <w:basedOn w:val="32"/>
    <w:qFormat/>
    <w:uiPriority w:val="0"/>
  </w:style>
  <w:style w:type="character" w:customStyle="1" w:styleId="71">
    <w:name w:val="first-child"/>
    <w:basedOn w:val="32"/>
    <w:qFormat/>
    <w:uiPriority w:val="0"/>
    <w:rPr>
      <w:color w:val="1F3149"/>
      <w:sz w:val="24"/>
      <w:szCs w:val="24"/>
    </w:rPr>
  </w:style>
  <w:style w:type="character" w:customStyle="1" w:styleId="72">
    <w:name w:val="first-child1"/>
    <w:basedOn w:val="32"/>
    <w:qFormat/>
    <w:uiPriority w:val="0"/>
    <w:rPr>
      <w:color w:val="1F3149"/>
      <w:sz w:val="24"/>
      <w:szCs w:val="24"/>
    </w:rPr>
  </w:style>
  <w:style w:type="character" w:customStyle="1" w:styleId="73">
    <w:name w:val="icon_ds"/>
    <w:basedOn w:val="32"/>
    <w:qFormat/>
    <w:uiPriority w:val="0"/>
    <w:rPr>
      <w:sz w:val="21"/>
      <w:szCs w:val="21"/>
    </w:rPr>
  </w:style>
  <w:style w:type="character" w:customStyle="1" w:styleId="74">
    <w:name w:val="icon_ds1"/>
    <w:basedOn w:val="32"/>
    <w:qFormat/>
    <w:uiPriority w:val="0"/>
  </w:style>
  <w:style w:type="character" w:customStyle="1" w:styleId="75">
    <w:name w:val="icon_gys"/>
    <w:basedOn w:val="32"/>
    <w:qFormat/>
    <w:uiPriority w:val="0"/>
    <w:rPr>
      <w:sz w:val="21"/>
      <w:szCs w:val="21"/>
    </w:rPr>
  </w:style>
  <w:style w:type="character" w:customStyle="1" w:styleId="76">
    <w:name w:val="fr"/>
    <w:basedOn w:val="32"/>
    <w:qFormat/>
    <w:uiPriority w:val="0"/>
  </w:style>
  <w:style w:type="character" w:customStyle="1" w:styleId="77">
    <w:name w:val="xiadan"/>
    <w:basedOn w:val="32"/>
    <w:qFormat/>
    <w:uiPriority w:val="0"/>
    <w:rPr>
      <w:shd w:val="clear" w:fill="E4393C"/>
    </w:rPr>
  </w:style>
  <w:style w:type="character" w:customStyle="1" w:styleId="78">
    <w:name w:val="font01"/>
    <w:basedOn w:val="32"/>
    <w:qFormat/>
    <w:uiPriority w:val="0"/>
    <w:rPr>
      <w:rFonts w:hint="eastAsia" w:ascii="宋体" w:hAnsi="宋体" w:eastAsia="宋体" w:cs="宋体"/>
      <w:color w:val="000000"/>
      <w:sz w:val="22"/>
      <w:szCs w:val="22"/>
      <w:u w:val="none"/>
    </w:rPr>
  </w:style>
  <w:style w:type="character" w:customStyle="1" w:styleId="79">
    <w:name w:val="font21"/>
    <w:basedOn w:val="32"/>
    <w:qFormat/>
    <w:uiPriority w:val="0"/>
    <w:rPr>
      <w:rFonts w:ascii="Arial" w:hAnsi="Arial" w:cs="Arial"/>
      <w:color w:val="000000"/>
      <w:sz w:val="22"/>
      <w:szCs w:val="22"/>
      <w:u w:val="none"/>
    </w:rPr>
  </w:style>
  <w:style w:type="character" w:customStyle="1" w:styleId="80">
    <w:name w:val="font61"/>
    <w:qFormat/>
    <w:uiPriority w:val="0"/>
    <w:rPr>
      <w:rFonts w:hint="eastAsia" w:ascii="宋体" w:hAnsi="宋体" w:eastAsia="宋体" w:cs="宋体"/>
      <w:color w:val="000000"/>
      <w:sz w:val="24"/>
      <w:szCs w:val="24"/>
      <w:u w:val="none"/>
    </w:rPr>
  </w:style>
  <w:style w:type="paragraph" w:customStyle="1" w:styleId="81">
    <w:name w:val="正文-建议书正文"/>
    <w:basedOn w:val="1"/>
    <w:qFormat/>
    <w:uiPriority w:val="0"/>
    <w:pPr>
      <w:spacing w:line="440" w:lineRule="exact"/>
      <w:ind w:right="-240" w:rightChars="-100" w:firstLine="480" w:firstLineChars="200"/>
      <w:jc w:val="left"/>
    </w:pPr>
    <w:rPr>
      <w:rFonts w:ascii="仿宋_GB2312" w:eastAsia="仿宋_GB2312"/>
      <w:szCs w:val="20"/>
    </w:rPr>
  </w:style>
  <w:style w:type="paragraph" w:customStyle="1" w:styleId="82">
    <w:name w:val="BIT缩进"/>
    <w:basedOn w:val="1"/>
    <w:qFormat/>
    <w:uiPriority w:val="0"/>
    <w:pPr>
      <w:spacing w:line="360" w:lineRule="auto"/>
      <w:ind w:right="29" w:rightChars="12" w:firstLine="480" w:firstLineChars="200"/>
    </w:pPr>
    <w:rPr>
      <w:rFonts w:ascii="宋体" w:hAnsi="宋体" w:eastAsia="宋体" w:cs="Lucida Sans Unicode"/>
      <w:sz w:val="24"/>
      <w:szCs w:val="21"/>
    </w:rPr>
  </w:style>
  <w:style w:type="character" w:customStyle="1" w:styleId="83">
    <w:name w:val="font11"/>
    <w:basedOn w:val="32"/>
    <w:qFormat/>
    <w:uiPriority w:val="0"/>
    <w:rPr>
      <w:rFonts w:hint="eastAsia" w:ascii="微软雅黑" w:hAnsi="微软雅黑" w:eastAsia="微软雅黑" w:cs="微软雅黑"/>
      <w:color w:val="000000"/>
      <w:sz w:val="20"/>
      <w:szCs w:val="20"/>
      <w:u w:val="none"/>
    </w:rPr>
  </w:style>
  <w:style w:type="paragraph" w:customStyle="1" w:styleId="84">
    <w:name w:val="_标题3"/>
    <w:basedOn w:val="4"/>
    <w:next w:val="85"/>
    <w:qFormat/>
    <w:uiPriority w:val="0"/>
    <w:pPr>
      <w:tabs>
        <w:tab w:val="left" w:pos="1742"/>
      </w:tabs>
      <w:spacing w:line="413" w:lineRule="auto"/>
      <w:ind w:left="1742" w:hanging="420"/>
    </w:pPr>
    <w:rPr>
      <w:rFonts w:ascii="Arial" w:hAnsi="Arial" w:eastAsia="黑体"/>
      <w:sz w:val="30"/>
    </w:rPr>
  </w:style>
  <w:style w:type="paragraph" w:customStyle="1" w:styleId="85">
    <w:name w:val="_正文段落"/>
    <w:basedOn w:val="1"/>
    <w:qFormat/>
    <w:uiPriority w:val="0"/>
    <w:pPr>
      <w:spacing w:beforeLines="15" w:afterLines="15" w:line="360" w:lineRule="auto"/>
      <w:ind w:firstLine="480" w:firstLineChars="200"/>
    </w:pPr>
    <w:rPr>
      <w:szCs w:val="20"/>
    </w:rPr>
  </w:style>
  <w:style w:type="table" w:customStyle="1" w:styleId="86">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87">
    <w:name w:val="正文1"/>
    <w:basedOn w:val="1"/>
    <w:qFormat/>
    <w:uiPriority w:val="0"/>
    <w:pPr>
      <w:spacing w:line="318" w:lineRule="atLeast"/>
      <w:ind w:left="369" w:firstLine="369"/>
    </w:pPr>
    <w:rPr>
      <w:rFonts w:ascii="宋体" w:hAnsi="Calibri" w:eastAsia="宋体" w:cs="Calibri"/>
      <w:szCs w:val="21"/>
    </w:rPr>
  </w:style>
  <w:style w:type="paragraph" w:customStyle="1" w:styleId="88">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9891</Words>
  <Characters>10960</Characters>
  <Lines>250</Lines>
  <Paragraphs>70</Paragraphs>
  <TotalTime>28</TotalTime>
  <ScaleCrop>false</ScaleCrop>
  <LinksUpToDate>false</LinksUpToDate>
  <CharactersWithSpaces>11670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2021-01-26T06:30:00Z</dcterms:created>
  <dc:creator>L</dc:creator>
  <cp:lastModifiedBy>安心伴我暖</cp:lastModifiedBy>
  <cp:lastPrinted>2023-07-17T04:02:00Z</cp:lastPrinted>
  <dcterms:modified xsi:type="dcterms:W3CDTF">2024-11-29T06:33:55Z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5C9E0C9B891A4FBB916EAC86A082772C_13</vt:lpwstr>
  </property>
</Properties>
</file>