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宋体" w:hAnsi="宋体" w:eastAsia="宋体" w:cs="宋体"/>
          <w:b/>
          <w:color w:val="auto"/>
          <w:sz w:val="40"/>
          <w:szCs w:val="40"/>
          <w:lang w:val="en-US" w:eastAsia="zh-CN"/>
        </w:rPr>
      </w:pP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宋体" w:hAnsi="宋体" w:cs="宋体"/>
          <w:b/>
          <w:color w:val="auto"/>
          <w:sz w:val="40"/>
          <w:szCs w:val="40"/>
          <w:lang w:val="en-US" w:eastAsia="zh-CN"/>
        </w:rPr>
      </w:pPr>
      <w:r>
        <w:rPr>
          <w:rFonts w:hint="eastAsia" w:ascii="宋体" w:hAnsi="宋体" w:cs="宋体"/>
          <w:b/>
          <w:color w:val="auto"/>
          <w:sz w:val="40"/>
          <w:szCs w:val="40"/>
          <w:lang w:val="en-US" w:eastAsia="zh-CN"/>
        </w:rPr>
        <w:t>林州市开元街道办事处2024年林州市开元街道</w:t>
      </w:r>
    </w:p>
    <w:p>
      <w:pPr>
        <w:keepNext w:val="0"/>
        <w:keepLines w:val="0"/>
        <w:pageBreakBefore w:val="0"/>
        <w:widowControl w:val="0"/>
        <w:kinsoku/>
        <w:wordWrap/>
        <w:overflowPunct/>
        <w:topLinePunct w:val="0"/>
        <w:autoSpaceDE/>
        <w:autoSpaceDN/>
        <w:bidi w:val="0"/>
        <w:adjustRightInd/>
        <w:snapToGrid/>
        <w:spacing w:line="700" w:lineRule="exact"/>
        <w:jc w:val="center"/>
        <w:textAlignment w:val="auto"/>
        <w:outlineLvl w:val="9"/>
        <w:rPr>
          <w:rFonts w:hint="eastAsia" w:ascii="宋体" w:hAnsi="宋体" w:eastAsia="宋体" w:cs="宋体"/>
          <w:b/>
          <w:color w:val="auto"/>
          <w:sz w:val="40"/>
          <w:szCs w:val="40"/>
          <w:lang w:val="en-US" w:eastAsia="zh-CN"/>
        </w:rPr>
      </w:pPr>
      <w:r>
        <w:rPr>
          <w:rFonts w:hint="eastAsia" w:ascii="宋体" w:hAnsi="宋体" w:cs="宋体"/>
          <w:b/>
          <w:color w:val="auto"/>
          <w:sz w:val="40"/>
          <w:szCs w:val="40"/>
          <w:lang w:val="en-US" w:eastAsia="zh-CN"/>
        </w:rPr>
        <w:t>田西峪村村组道路项目</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方正仿宋_GB2312" w:hAnsi="方正仿宋_GB2312" w:eastAsia="方正仿宋_GB2312" w:cs="方正仿宋_GB2312"/>
          <w:b/>
          <w:color w:val="auto"/>
          <w:sz w:val="60"/>
          <w:szCs w:val="60"/>
          <w:lang w:val="en-US" w:eastAsia="zh-CN"/>
        </w:rPr>
      </w:pPr>
      <w:bookmarkStart w:id="0" w:name="_Toc23880"/>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color w:val="auto"/>
          <w:sz w:val="60"/>
          <w:szCs w:val="60"/>
        </w:rPr>
      </w:pPr>
      <w:r>
        <w:rPr>
          <w:rFonts w:hint="eastAsia" w:ascii="宋体" w:hAnsi="宋体" w:eastAsia="宋体" w:cs="宋体"/>
          <w:b/>
          <w:color w:val="auto"/>
          <w:sz w:val="60"/>
          <w:szCs w:val="60"/>
          <w:lang w:val="en-US" w:eastAsia="zh-CN"/>
        </w:rPr>
        <w:t>竞争性磋商</w:t>
      </w:r>
      <w:r>
        <w:rPr>
          <w:rFonts w:hint="eastAsia" w:ascii="宋体" w:hAnsi="宋体" w:eastAsia="宋体" w:cs="宋体"/>
          <w:b/>
          <w:color w:val="auto"/>
          <w:sz w:val="60"/>
          <w:szCs w:val="60"/>
        </w:rPr>
        <w:t>文件</w:t>
      </w:r>
      <w:bookmarkEnd w:id="0"/>
    </w:p>
    <w:p>
      <w:pPr>
        <w:pStyle w:val="32"/>
        <w:keepNext w:val="0"/>
        <w:keepLines w:val="0"/>
        <w:widowControl/>
        <w:suppressLineNumbers w:val="0"/>
        <w:ind w:left="0" w:leftChars="0" w:firstLine="0" w:firstLineChars="0"/>
        <w:jc w:val="center"/>
        <w:outlineLvl w:val="9"/>
        <w:rPr>
          <w:rFonts w:hint="eastAsia" w:ascii="宋体" w:hAnsi="宋体" w:eastAsia="宋体" w:cs="宋体"/>
          <w:b/>
          <w:bCs/>
          <w:color w:val="auto"/>
          <w:sz w:val="28"/>
          <w:szCs w:val="36"/>
          <w:highlight w:val="none"/>
          <w:lang w:val="en-US" w:eastAsia="zh-CN"/>
        </w:rPr>
      </w:pPr>
      <w:bookmarkStart w:id="1" w:name="_Toc27141"/>
      <w:r>
        <w:rPr>
          <w:rFonts w:hint="eastAsia" w:ascii="宋体" w:hAnsi="宋体" w:eastAsia="宋体" w:cs="宋体"/>
          <w:b/>
          <w:bCs/>
          <w:color w:val="auto"/>
          <w:sz w:val="28"/>
          <w:szCs w:val="36"/>
          <w:highlight w:val="none"/>
          <w:lang w:val="en-US" w:eastAsia="zh-CN"/>
        </w:rPr>
        <w:t>采购编号：</w:t>
      </w:r>
      <w:bookmarkEnd w:id="1"/>
      <w:r>
        <w:rPr>
          <w:rFonts w:hint="eastAsia" w:cs="宋体"/>
          <w:b/>
          <w:bCs/>
          <w:color w:val="auto"/>
          <w:sz w:val="28"/>
          <w:szCs w:val="36"/>
          <w:highlight w:val="none"/>
          <w:lang w:val="en-US" w:eastAsia="zh-CN"/>
        </w:rPr>
        <w:t>林财磋商采购-2024-CS38</w:t>
      </w:r>
    </w:p>
    <w:p>
      <w:pPr>
        <w:keepNext w:val="0"/>
        <w:keepLines w:val="0"/>
        <w:pageBreakBefore w:val="0"/>
        <w:widowControl w:val="0"/>
        <w:tabs>
          <w:tab w:val="left" w:pos="6120"/>
        </w:tabs>
        <w:kinsoku/>
        <w:wordWrap/>
        <w:overflowPunct/>
        <w:topLinePunct w:val="0"/>
        <w:autoSpaceDE/>
        <w:autoSpaceDN/>
        <w:bidi w:val="0"/>
        <w:adjustRightInd/>
        <w:snapToGrid/>
        <w:spacing w:line="600" w:lineRule="exact"/>
        <w:ind w:left="0" w:leftChars="0" w:firstLine="0" w:firstLineChars="0"/>
        <w:jc w:val="center"/>
        <w:textAlignment w:val="auto"/>
        <w:outlineLvl w:val="9"/>
        <w:rPr>
          <w:rFonts w:hint="eastAsia" w:ascii="宋体" w:hAnsi="宋体" w:eastAsia="宋体" w:cs="宋体"/>
          <w:b/>
          <w:bCs/>
          <w:color w:val="auto"/>
          <w:sz w:val="32"/>
          <w:szCs w:val="40"/>
          <w:highlight w:val="none"/>
          <w:lang w:val="en-US" w:eastAsia="zh-CN"/>
        </w:rPr>
      </w:pPr>
    </w:p>
    <w:p>
      <w:pPr>
        <w:pStyle w:val="52"/>
        <w:outlineLvl w:val="9"/>
        <w:rPr>
          <w:rFonts w:hint="eastAsia" w:ascii="宋体" w:hAnsi="宋体" w:eastAsia="宋体" w:cs="宋体"/>
          <w:b/>
          <w:color w:val="auto"/>
          <w:spacing w:val="14"/>
          <w:kern w:val="0"/>
          <w:sz w:val="32"/>
          <w:szCs w:val="32"/>
        </w:rPr>
      </w:pPr>
    </w:p>
    <w:p>
      <w:pPr>
        <w:outlineLvl w:val="9"/>
        <w:rPr>
          <w:rFonts w:hint="eastAsia" w:ascii="宋体" w:hAnsi="宋体" w:eastAsia="宋体" w:cs="宋体"/>
          <w:color w:val="auto"/>
        </w:rPr>
      </w:pPr>
    </w:p>
    <w:p>
      <w:pPr>
        <w:pStyle w:val="53"/>
        <w:outlineLvl w:val="9"/>
        <w:rPr>
          <w:rFonts w:hint="eastAsia" w:ascii="宋体" w:hAnsi="宋体" w:eastAsia="宋体" w:cs="宋体"/>
          <w:b/>
          <w:color w:val="auto"/>
          <w:spacing w:val="14"/>
          <w:kern w:val="0"/>
          <w:sz w:val="32"/>
          <w:szCs w:val="32"/>
        </w:rPr>
      </w:pPr>
    </w:p>
    <w:p>
      <w:pPr>
        <w:pStyle w:val="53"/>
        <w:outlineLvl w:val="9"/>
        <w:rPr>
          <w:rFonts w:hint="eastAsia" w:ascii="宋体" w:hAnsi="宋体" w:eastAsia="宋体" w:cs="宋体"/>
          <w:b/>
          <w:color w:val="auto"/>
          <w:spacing w:val="14"/>
          <w:kern w:val="0"/>
          <w:sz w:val="32"/>
          <w:szCs w:val="32"/>
        </w:rPr>
      </w:pPr>
    </w:p>
    <w:p>
      <w:pPr>
        <w:pStyle w:val="53"/>
        <w:outlineLvl w:val="9"/>
        <w:rPr>
          <w:rFonts w:hint="eastAsia" w:ascii="宋体" w:hAnsi="宋体" w:eastAsia="宋体" w:cs="宋体"/>
          <w:b/>
          <w:color w:val="auto"/>
          <w:spacing w:val="14"/>
          <w:kern w:val="0"/>
          <w:sz w:val="32"/>
          <w:szCs w:val="32"/>
        </w:rPr>
      </w:pPr>
    </w:p>
    <w:p>
      <w:pPr>
        <w:pStyle w:val="53"/>
        <w:outlineLvl w:val="9"/>
        <w:rPr>
          <w:rFonts w:hint="eastAsia" w:ascii="宋体" w:hAnsi="宋体" w:eastAsia="宋体" w:cs="宋体"/>
          <w:b/>
          <w:color w:val="auto"/>
          <w:spacing w:val="14"/>
          <w:kern w:val="0"/>
          <w:sz w:val="32"/>
          <w:szCs w:val="32"/>
        </w:rPr>
      </w:pP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outlineLvl w:val="9"/>
        <w:rPr>
          <w:rFonts w:hint="eastAsia" w:ascii="宋体" w:hAnsi="宋体" w:eastAsia="宋体" w:cs="宋体"/>
          <w:b/>
          <w:color w:val="auto"/>
          <w:spacing w:val="14"/>
          <w:kern w:val="0"/>
          <w:sz w:val="32"/>
          <w:szCs w:val="32"/>
        </w:rPr>
      </w:pPr>
    </w:p>
    <w:p>
      <w:pPr>
        <w:keepNext w:val="0"/>
        <w:keepLines w:val="0"/>
        <w:pageBreakBefore w:val="0"/>
        <w:widowControl w:val="0"/>
        <w:kinsoku/>
        <w:wordWrap/>
        <w:overflowPunct/>
        <w:topLinePunct w:val="0"/>
        <w:autoSpaceDE/>
        <w:autoSpaceDN/>
        <w:bidi w:val="0"/>
        <w:adjustRightInd/>
        <w:snapToGrid/>
        <w:spacing w:line="480" w:lineRule="auto"/>
        <w:ind w:left="0" w:leftChars="0" w:firstLine="1685" w:firstLineChars="512"/>
        <w:jc w:val="both"/>
        <w:textAlignment w:val="auto"/>
        <w:outlineLvl w:val="9"/>
        <w:rPr>
          <w:rFonts w:hint="eastAsia" w:ascii="宋体" w:hAnsi="宋体" w:eastAsia="宋体" w:cs="宋体"/>
          <w:b/>
          <w:color w:val="auto"/>
          <w:spacing w:val="14"/>
          <w:kern w:val="0"/>
          <w:sz w:val="30"/>
          <w:szCs w:val="30"/>
          <w:lang w:val="en-US" w:eastAsia="zh-CN"/>
        </w:rPr>
      </w:pPr>
      <w:bookmarkStart w:id="2" w:name="_Toc27248"/>
      <w:r>
        <w:rPr>
          <w:rFonts w:hint="eastAsia" w:ascii="宋体" w:hAnsi="宋体" w:eastAsia="宋体" w:cs="宋体"/>
          <w:b/>
          <w:color w:val="auto"/>
          <w:spacing w:val="14"/>
          <w:kern w:val="0"/>
          <w:sz w:val="30"/>
          <w:szCs w:val="30"/>
        </w:rPr>
        <w:t>采</w:t>
      </w:r>
      <w:r>
        <w:rPr>
          <w:rFonts w:hint="eastAsia" w:ascii="宋体" w:hAnsi="宋体" w:eastAsia="宋体" w:cs="宋体"/>
          <w:b/>
          <w:color w:val="auto"/>
          <w:spacing w:val="14"/>
          <w:kern w:val="0"/>
          <w:sz w:val="30"/>
          <w:szCs w:val="30"/>
          <w:lang w:val="en-US" w:eastAsia="zh-CN"/>
        </w:rPr>
        <w:t xml:space="preserve"> </w:t>
      </w:r>
      <w:r>
        <w:rPr>
          <w:rFonts w:hint="eastAsia" w:ascii="宋体" w:hAnsi="宋体" w:eastAsia="宋体" w:cs="宋体"/>
          <w:b/>
          <w:color w:val="auto"/>
          <w:spacing w:val="14"/>
          <w:kern w:val="0"/>
          <w:sz w:val="30"/>
          <w:szCs w:val="30"/>
        </w:rPr>
        <w:t>购</w:t>
      </w:r>
      <w:r>
        <w:rPr>
          <w:rFonts w:hint="eastAsia" w:ascii="宋体" w:hAnsi="宋体" w:eastAsia="宋体" w:cs="宋体"/>
          <w:b/>
          <w:color w:val="auto"/>
          <w:spacing w:val="14"/>
          <w:kern w:val="0"/>
          <w:sz w:val="30"/>
          <w:szCs w:val="30"/>
          <w:lang w:val="en-US" w:eastAsia="zh-CN"/>
        </w:rPr>
        <w:t xml:space="preserve"> </w:t>
      </w:r>
      <w:r>
        <w:rPr>
          <w:rFonts w:hint="eastAsia" w:ascii="宋体" w:hAnsi="宋体" w:eastAsia="宋体" w:cs="宋体"/>
          <w:b/>
          <w:color w:val="auto"/>
          <w:spacing w:val="14"/>
          <w:kern w:val="0"/>
          <w:sz w:val="30"/>
          <w:szCs w:val="30"/>
        </w:rPr>
        <w:t>人</w:t>
      </w:r>
      <w:r>
        <w:rPr>
          <w:rFonts w:hint="eastAsia" w:ascii="宋体" w:hAnsi="宋体" w:eastAsia="宋体" w:cs="宋体"/>
          <w:b/>
          <w:color w:val="auto"/>
          <w:spacing w:val="14"/>
          <w:kern w:val="0"/>
          <w:sz w:val="30"/>
          <w:szCs w:val="30"/>
          <w:lang w:eastAsia="zh-CN"/>
        </w:rPr>
        <w:t>：</w:t>
      </w:r>
      <w:bookmarkEnd w:id="2"/>
      <w:r>
        <w:rPr>
          <w:rFonts w:hint="eastAsia" w:ascii="宋体" w:hAnsi="宋体" w:cs="宋体"/>
          <w:b/>
          <w:color w:val="auto"/>
          <w:spacing w:val="14"/>
          <w:kern w:val="0"/>
          <w:sz w:val="30"/>
          <w:szCs w:val="30"/>
          <w:lang w:val="en-US" w:eastAsia="zh-CN"/>
        </w:rPr>
        <w:t>林州市开元街道办事处</w:t>
      </w:r>
    </w:p>
    <w:p>
      <w:pPr>
        <w:keepNext w:val="0"/>
        <w:keepLines w:val="0"/>
        <w:pageBreakBefore w:val="0"/>
        <w:widowControl w:val="0"/>
        <w:kinsoku/>
        <w:wordWrap/>
        <w:overflowPunct/>
        <w:topLinePunct w:val="0"/>
        <w:autoSpaceDE/>
        <w:autoSpaceDN/>
        <w:bidi w:val="0"/>
        <w:adjustRightInd/>
        <w:snapToGrid/>
        <w:spacing w:line="480" w:lineRule="auto"/>
        <w:ind w:left="0" w:leftChars="0" w:firstLine="1685" w:firstLineChars="512"/>
        <w:jc w:val="both"/>
        <w:textAlignment w:val="auto"/>
        <w:outlineLvl w:val="9"/>
        <w:rPr>
          <w:rFonts w:hint="eastAsia" w:ascii="宋体" w:hAnsi="宋体" w:eastAsia="宋体" w:cs="宋体"/>
          <w:b/>
          <w:color w:val="auto"/>
          <w:spacing w:val="14"/>
          <w:kern w:val="0"/>
          <w:sz w:val="30"/>
          <w:szCs w:val="30"/>
          <w:lang w:eastAsia="zh-CN"/>
        </w:rPr>
      </w:pPr>
      <w:bookmarkStart w:id="3" w:name="_Toc25400"/>
      <w:r>
        <w:rPr>
          <w:rFonts w:hint="eastAsia" w:ascii="宋体" w:hAnsi="宋体" w:eastAsia="宋体" w:cs="宋体"/>
          <w:b/>
          <w:color w:val="auto"/>
          <w:spacing w:val="14"/>
          <w:kern w:val="0"/>
          <w:sz w:val="30"/>
          <w:szCs w:val="30"/>
        </w:rPr>
        <w:t>代理机构：</w:t>
      </w:r>
      <w:r>
        <w:rPr>
          <w:rFonts w:hint="eastAsia" w:ascii="宋体" w:hAnsi="宋体" w:eastAsia="宋体" w:cs="宋体"/>
          <w:b/>
          <w:color w:val="auto"/>
          <w:spacing w:val="14"/>
          <w:kern w:val="0"/>
          <w:sz w:val="30"/>
          <w:szCs w:val="30"/>
          <w:lang w:eastAsia="zh-CN"/>
        </w:rPr>
        <w:t>河南联达工程管理有限公司</w:t>
      </w:r>
      <w:bookmarkEnd w:id="3"/>
    </w:p>
    <w:p>
      <w:pPr>
        <w:keepNext w:val="0"/>
        <w:keepLines w:val="0"/>
        <w:pageBreakBefore w:val="0"/>
        <w:widowControl w:val="0"/>
        <w:kinsoku/>
        <w:wordWrap/>
        <w:overflowPunct/>
        <w:topLinePunct w:val="0"/>
        <w:autoSpaceDE/>
        <w:autoSpaceDN/>
        <w:bidi w:val="0"/>
        <w:adjustRightInd/>
        <w:snapToGrid/>
        <w:spacing w:line="480" w:lineRule="auto"/>
        <w:ind w:firstLine="3313" w:firstLineChars="1100"/>
        <w:jc w:val="both"/>
        <w:textAlignment w:val="auto"/>
        <w:outlineLvl w:val="9"/>
        <w:rPr>
          <w:rFonts w:hint="eastAsia" w:ascii="宋体" w:hAnsi="宋体" w:eastAsia="宋体" w:cs="宋体"/>
          <w:b/>
          <w:color w:val="auto"/>
          <w:spacing w:val="14"/>
          <w:kern w:val="0"/>
          <w:sz w:val="30"/>
          <w:szCs w:val="30"/>
          <w:lang w:val="en-US" w:eastAsia="zh-CN"/>
        </w:rPr>
      </w:pPr>
      <w:r>
        <w:rPr>
          <w:rFonts w:hint="eastAsia" w:ascii="宋体" w:hAnsi="宋体" w:cs="宋体"/>
          <w:b/>
          <w:color w:val="auto"/>
          <w:sz w:val="30"/>
          <w:szCs w:val="30"/>
          <w:highlight w:val="none"/>
          <w:lang w:eastAsia="zh-CN"/>
        </w:rPr>
        <w:t>2024年</w:t>
      </w:r>
      <w:r>
        <w:rPr>
          <w:rFonts w:hint="eastAsia" w:ascii="宋体" w:hAnsi="宋体" w:cs="宋体"/>
          <w:b/>
          <w:color w:val="auto"/>
          <w:sz w:val="30"/>
          <w:szCs w:val="30"/>
          <w:highlight w:val="none"/>
          <w:lang w:val="en-US" w:eastAsia="zh-CN"/>
        </w:rPr>
        <w:t>5</w:t>
      </w:r>
      <w:r>
        <w:rPr>
          <w:rFonts w:hint="eastAsia" w:ascii="宋体" w:hAnsi="宋体" w:cs="宋体"/>
          <w:b/>
          <w:color w:val="auto"/>
          <w:sz w:val="30"/>
          <w:szCs w:val="30"/>
          <w:highlight w:val="none"/>
          <w:lang w:eastAsia="zh-CN"/>
        </w:rPr>
        <w:t>月</w:t>
      </w:r>
      <w:r>
        <w:rPr>
          <w:rFonts w:hint="eastAsia" w:ascii="宋体" w:hAnsi="宋体" w:eastAsia="宋体" w:cs="宋体"/>
          <w:b/>
          <w:color w:val="auto"/>
          <w:spacing w:val="14"/>
          <w:kern w:val="0"/>
          <w:sz w:val="30"/>
          <w:szCs w:val="30"/>
          <w:lang w:val="en-US" w:eastAsia="zh-CN"/>
        </w:rPr>
        <w:t xml:space="preserve"> </w:t>
      </w:r>
    </w:p>
    <w:p>
      <w:pPr>
        <w:pageBreakBefore/>
        <w:widowControl/>
        <w:spacing w:before="156" w:beforeLines="50" w:after="312" w:afterLines="100"/>
        <w:jc w:val="center"/>
        <w:rPr>
          <w:rFonts w:hint="eastAsia" w:ascii="宋体" w:hAnsi="宋体" w:eastAsia="宋体" w:cs="宋体"/>
          <w:b/>
          <w:bCs/>
          <w:sz w:val="44"/>
          <w:szCs w:val="44"/>
        </w:rPr>
        <w:sectPr>
          <w:footerReference r:id="rId5" w:type="default"/>
          <w:pgSz w:w="11906" w:h="16838"/>
          <w:pgMar w:top="1531" w:right="1531" w:bottom="1531" w:left="1531" w:header="851" w:footer="992" w:gutter="0"/>
          <w:pgNumType w:start="0"/>
          <w:cols w:space="0" w:num="1"/>
          <w:rtlGutter w:val="0"/>
          <w:docGrid w:type="lines" w:linePitch="312" w:charSpace="0"/>
        </w:sectPr>
      </w:pPr>
    </w:p>
    <w:sdt>
      <w:sdtPr>
        <w:rPr>
          <w:rFonts w:ascii="宋体" w:hAnsi="宋体" w:eastAsia="宋体" w:cs="Times New Roman"/>
          <w:kern w:val="2"/>
          <w:sz w:val="21"/>
          <w:szCs w:val="24"/>
          <w:lang w:val="en-US" w:eastAsia="zh-CN" w:bidi="ar-SA"/>
        </w:rPr>
        <w:id w:val="147474835"/>
        <w15:color w:val="DBDBDB"/>
        <w:docPartObj>
          <w:docPartGallery w:val="Table of Contents"/>
          <w:docPartUnique/>
        </w:docPartObj>
      </w:sdtPr>
      <w:sdtEndPr>
        <w:rPr>
          <w:rFonts w:hint="eastAsia" w:ascii="Times New Roman" w:hAnsi="Times New Roman" w:eastAsia="宋体" w:cs="Times New Roman"/>
          <w:kern w:val="2"/>
          <w:sz w:val="21"/>
          <w:szCs w:val="21"/>
          <w:lang w:val="en-US" w:eastAsia="zh-CN" w:bidi="ar-SA"/>
        </w:rPr>
      </w:sdtEndPr>
      <w:sdtContent>
        <w:p>
          <w:pPr>
            <w:spacing w:before="0" w:beforeLines="0" w:after="0" w:afterLines="0" w:line="240" w:lineRule="auto"/>
            <w:ind w:left="0" w:leftChars="0" w:right="0" w:rightChars="0" w:firstLine="0" w:firstLineChars="0"/>
            <w:jc w:val="center"/>
            <w:rPr>
              <w:rFonts w:ascii="宋体" w:hAnsi="宋体" w:eastAsia="宋体"/>
              <w:b/>
              <w:bCs/>
              <w:sz w:val="36"/>
              <w:szCs w:val="36"/>
            </w:rPr>
          </w:pPr>
          <w:r>
            <w:rPr>
              <w:rFonts w:ascii="宋体" w:hAnsi="宋体" w:eastAsia="宋体"/>
              <w:b/>
              <w:bCs/>
              <w:sz w:val="36"/>
              <w:szCs w:val="36"/>
            </w:rPr>
            <w:t>目</w:t>
          </w:r>
          <w:r>
            <w:rPr>
              <w:rFonts w:hint="eastAsia" w:ascii="宋体" w:hAnsi="宋体" w:eastAsia="宋体"/>
              <w:b/>
              <w:bCs/>
              <w:sz w:val="36"/>
              <w:szCs w:val="36"/>
              <w:lang w:val="en-US" w:eastAsia="zh-CN"/>
            </w:rPr>
            <w:t xml:space="preserve"> </w:t>
          </w:r>
          <w:r>
            <w:rPr>
              <w:rFonts w:ascii="宋体" w:hAnsi="宋体" w:eastAsia="宋体"/>
              <w:b/>
              <w:bCs/>
              <w:sz w:val="36"/>
              <w:szCs w:val="36"/>
            </w:rPr>
            <w:t>录</w:t>
          </w:r>
        </w:p>
        <w:p>
          <w:pPr>
            <w:spacing w:before="0" w:beforeLines="0" w:after="0" w:afterLines="0" w:line="240" w:lineRule="auto"/>
            <w:ind w:left="0" w:leftChars="0" w:right="0" w:rightChars="0" w:firstLine="0" w:firstLineChars="0"/>
            <w:jc w:val="center"/>
            <w:rPr>
              <w:rFonts w:ascii="宋体" w:hAnsi="宋体" w:eastAsia="宋体"/>
              <w:b/>
              <w:bCs/>
              <w:sz w:val="36"/>
              <w:szCs w:val="36"/>
            </w:rPr>
          </w:pPr>
        </w:p>
        <w:p>
          <w:pPr>
            <w:pStyle w:val="23"/>
            <w:tabs>
              <w:tab w:val="right" w:leader="dot" w:pos="9298"/>
            </w:tabs>
            <w:spacing w:line="480" w:lineRule="auto"/>
            <w:rPr>
              <w:rFonts w:hint="eastAsia" w:ascii="宋体" w:hAnsi="宋体" w:eastAsia="宋体" w:cs="宋体"/>
              <w:b/>
              <w:bCs/>
              <w:sz w:val="28"/>
              <w:szCs w:val="28"/>
            </w:rPr>
          </w:pPr>
          <w:r>
            <w:rPr>
              <w:rFonts w:hint="eastAsia" w:ascii="Times New Roman" w:hAnsi="Times New Roman" w:eastAsia="宋体" w:cs="Times New Roman"/>
              <w:kern w:val="2"/>
              <w:sz w:val="21"/>
              <w:szCs w:val="21"/>
              <w:lang w:val="en-US" w:eastAsia="zh-CN" w:bidi="ar-SA"/>
            </w:rPr>
            <w:fldChar w:fldCharType="begin"/>
          </w:r>
          <w:r>
            <w:rPr>
              <w:rFonts w:hint="eastAsia" w:ascii="Times New Roman" w:hAnsi="Times New Roman" w:eastAsia="宋体" w:cs="Times New Roman"/>
              <w:kern w:val="2"/>
              <w:sz w:val="21"/>
              <w:szCs w:val="21"/>
              <w:lang w:val="en-US" w:eastAsia="zh-CN" w:bidi="ar-SA"/>
            </w:rPr>
            <w:instrText xml:space="preserve">TOC \o "1-1" \h \u </w:instrText>
          </w:r>
          <w:r>
            <w:rPr>
              <w:rFonts w:hint="eastAsia" w:ascii="Times New Roman" w:hAnsi="Times New Roman" w:eastAsia="宋体" w:cs="Times New Roman"/>
              <w:kern w:val="2"/>
              <w:sz w:val="21"/>
              <w:szCs w:val="21"/>
              <w:lang w:val="en-US" w:eastAsia="zh-CN" w:bidi="ar-SA"/>
            </w:rPr>
            <w:fldChar w:fldCharType="separate"/>
          </w:r>
          <w:r>
            <w:rPr>
              <w:rFonts w:hint="eastAsia" w:ascii="宋体" w:hAnsi="宋体" w:eastAsia="宋体" w:cs="宋体"/>
              <w:b/>
              <w:bCs/>
              <w:kern w:val="2"/>
              <w:sz w:val="28"/>
              <w:szCs w:val="28"/>
              <w:lang w:val="en-US" w:eastAsia="zh-CN" w:bidi="ar-SA"/>
            </w:rPr>
            <w:fldChar w:fldCharType="begin"/>
          </w:r>
          <w:r>
            <w:rPr>
              <w:rFonts w:hint="eastAsia" w:ascii="宋体" w:hAnsi="宋体" w:eastAsia="宋体" w:cs="宋体"/>
              <w:b/>
              <w:bCs/>
              <w:kern w:val="2"/>
              <w:sz w:val="28"/>
              <w:szCs w:val="28"/>
              <w:lang w:val="en-US" w:eastAsia="zh-CN" w:bidi="ar-SA"/>
            </w:rPr>
            <w:instrText xml:space="preserve"> HYPERLINK \l _Toc5485 </w:instrText>
          </w:r>
          <w:r>
            <w:rPr>
              <w:rFonts w:hint="eastAsia" w:ascii="宋体" w:hAnsi="宋体" w:eastAsia="宋体" w:cs="宋体"/>
              <w:b/>
              <w:bCs/>
              <w:kern w:val="2"/>
              <w:sz w:val="28"/>
              <w:szCs w:val="28"/>
              <w:lang w:val="en-US" w:eastAsia="zh-CN" w:bidi="ar-SA"/>
            </w:rPr>
            <w:fldChar w:fldCharType="separate"/>
          </w:r>
          <w:r>
            <w:rPr>
              <w:rFonts w:hint="eastAsia" w:ascii="宋体" w:hAnsi="宋体" w:eastAsia="宋体" w:cs="宋体"/>
              <w:b/>
              <w:bCs/>
              <w:sz w:val="28"/>
              <w:szCs w:val="28"/>
            </w:rPr>
            <w:t>第一章 竞争性磋商公告</w:t>
          </w:r>
          <w:r>
            <w:rPr>
              <w:rFonts w:hint="eastAsia" w:ascii="宋体" w:hAnsi="宋体" w:eastAsia="宋体" w:cs="宋体"/>
              <w:b/>
              <w:bCs/>
              <w:sz w:val="28"/>
              <w:szCs w:val="28"/>
            </w:rPr>
            <w:tab/>
          </w:r>
          <w:r>
            <w:rPr>
              <w:rFonts w:hint="eastAsia" w:ascii="宋体" w:hAnsi="宋体" w:eastAsia="宋体" w:cs="宋体"/>
              <w:b/>
              <w:bCs/>
              <w:sz w:val="28"/>
              <w:szCs w:val="28"/>
              <w:lang w:val="en-US" w:eastAsia="zh-CN"/>
            </w:rPr>
            <w:t>2</w:t>
          </w:r>
          <w:r>
            <w:rPr>
              <w:rFonts w:hint="eastAsia" w:ascii="宋体" w:hAnsi="宋体" w:eastAsia="宋体" w:cs="宋体"/>
              <w:b/>
              <w:bCs/>
              <w:kern w:val="2"/>
              <w:sz w:val="28"/>
              <w:szCs w:val="28"/>
              <w:lang w:val="en-US" w:eastAsia="zh-CN" w:bidi="ar-SA"/>
            </w:rPr>
            <w:fldChar w:fldCharType="end"/>
          </w:r>
        </w:p>
        <w:p>
          <w:pPr>
            <w:pStyle w:val="23"/>
            <w:tabs>
              <w:tab w:val="right" w:leader="dot" w:pos="9298"/>
            </w:tabs>
            <w:spacing w:line="480" w:lineRule="auto"/>
            <w:rPr>
              <w:rFonts w:hint="eastAsia" w:ascii="宋体" w:hAnsi="宋体" w:eastAsia="宋体" w:cs="宋体"/>
              <w:b/>
              <w:bCs/>
              <w:sz w:val="28"/>
              <w:szCs w:val="28"/>
            </w:rPr>
          </w:pPr>
          <w:r>
            <w:rPr>
              <w:rFonts w:hint="eastAsia" w:ascii="宋体" w:hAnsi="宋体" w:eastAsia="宋体" w:cs="宋体"/>
              <w:b/>
              <w:bCs/>
              <w:kern w:val="2"/>
              <w:sz w:val="28"/>
              <w:szCs w:val="28"/>
              <w:lang w:val="en-US" w:eastAsia="zh-CN" w:bidi="ar-SA"/>
            </w:rPr>
            <w:fldChar w:fldCharType="begin"/>
          </w:r>
          <w:r>
            <w:rPr>
              <w:rFonts w:hint="eastAsia" w:ascii="宋体" w:hAnsi="宋体" w:eastAsia="宋体" w:cs="宋体"/>
              <w:b/>
              <w:bCs/>
              <w:kern w:val="2"/>
              <w:sz w:val="28"/>
              <w:szCs w:val="28"/>
              <w:lang w:val="en-US" w:eastAsia="zh-CN" w:bidi="ar-SA"/>
            </w:rPr>
            <w:instrText xml:space="preserve"> HYPERLINK \l _Toc26571 </w:instrText>
          </w:r>
          <w:r>
            <w:rPr>
              <w:rFonts w:hint="eastAsia" w:ascii="宋体" w:hAnsi="宋体" w:eastAsia="宋体" w:cs="宋体"/>
              <w:b/>
              <w:bCs/>
              <w:kern w:val="2"/>
              <w:sz w:val="28"/>
              <w:szCs w:val="28"/>
              <w:lang w:val="en-US" w:eastAsia="zh-CN" w:bidi="ar-SA"/>
            </w:rPr>
            <w:fldChar w:fldCharType="separate"/>
          </w:r>
          <w:r>
            <w:rPr>
              <w:rFonts w:hint="eastAsia" w:ascii="宋体" w:hAnsi="宋体" w:eastAsia="宋体" w:cs="宋体"/>
              <w:b/>
              <w:bCs/>
              <w:sz w:val="28"/>
              <w:szCs w:val="28"/>
            </w:rPr>
            <w:t>第二章 投标人须知</w:t>
          </w:r>
          <w:r>
            <w:rPr>
              <w:rFonts w:hint="eastAsia" w:ascii="宋体" w:hAnsi="宋体" w:eastAsia="宋体" w:cs="宋体"/>
              <w:b/>
              <w:bCs/>
              <w:sz w:val="28"/>
              <w:szCs w:val="28"/>
            </w:rPr>
            <w:tab/>
          </w:r>
          <w:r>
            <w:rPr>
              <w:rFonts w:hint="eastAsia" w:ascii="宋体" w:hAnsi="宋体" w:cs="宋体"/>
              <w:b/>
              <w:bCs/>
              <w:sz w:val="28"/>
              <w:szCs w:val="28"/>
              <w:lang w:val="en-US" w:eastAsia="zh-CN"/>
            </w:rPr>
            <w:t>6</w:t>
          </w:r>
          <w:r>
            <w:rPr>
              <w:rFonts w:hint="eastAsia" w:ascii="宋体" w:hAnsi="宋体" w:eastAsia="宋体" w:cs="宋体"/>
              <w:b/>
              <w:bCs/>
              <w:kern w:val="2"/>
              <w:sz w:val="28"/>
              <w:szCs w:val="28"/>
              <w:lang w:val="en-US" w:eastAsia="zh-CN" w:bidi="ar-SA"/>
            </w:rPr>
            <w:fldChar w:fldCharType="end"/>
          </w:r>
        </w:p>
        <w:p>
          <w:pPr>
            <w:pStyle w:val="23"/>
            <w:tabs>
              <w:tab w:val="right" w:leader="dot" w:pos="9298"/>
            </w:tabs>
            <w:spacing w:line="480" w:lineRule="auto"/>
            <w:rPr>
              <w:rFonts w:hint="eastAsia" w:ascii="宋体" w:hAnsi="宋体" w:eastAsia="宋体" w:cs="宋体"/>
              <w:b/>
              <w:bCs/>
              <w:sz w:val="28"/>
              <w:szCs w:val="28"/>
            </w:rPr>
          </w:pPr>
          <w:r>
            <w:rPr>
              <w:rFonts w:hint="eastAsia" w:ascii="宋体" w:hAnsi="宋体" w:eastAsia="宋体" w:cs="宋体"/>
              <w:b/>
              <w:bCs/>
              <w:kern w:val="2"/>
              <w:sz w:val="28"/>
              <w:szCs w:val="28"/>
              <w:lang w:val="en-US" w:eastAsia="zh-CN" w:bidi="ar-SA"/>
            </w:rPr>
            <w:fldChar w:fldCharType="begin"/>
          </w:r>
          <w:r>
            <w:rPr>
              <w:rFonts w:hint="eastAsia" w:ascii="宋体" w:hAnsi="宋体" w:eastAsia="宋体" w:cs="宋体"/>
              <w:b/>
              <w:bCs/>
              <w:kern w:val="2"/>
              <w:sz w:val="28"/>
              <w:szCs w:val="28"/>
              <w:lang w:val="en-US" w:eastAsia="zh-CN" w:bidi="ar-SA"/>
            </w:rPr>
            <w:instrText xml:space="preserve"> HYPERLINK \l _Toc30205 </w:instrText>
          </w:r>
          <w:r>
            <w:rPr>
              <w:rFonts w:hint="eastAsia" w:ascii="宋体" w:hAnsi="宋体" w:eastAsia="宋体" w:cs="宋体"/>
              <w:b/>
              <w:bCs/>
              <w:kern w:val="2"/>
              <w:sz w:val="28"/>
              <w:szCs w:val="28"/>
              <w:lang w:val="en-US" w:eastAsia="zh-CN" w:bidi="ar-SA"/>
            </w:rPr>
            <w:fldChar w:fldCharType="separate"/>
          </w:r>
          <w:r>
            <w:rPr>
              <w:rFonts w:hint="eastAsia" w:ascii="宋体" w:hAnsi="宋体" w:eastAsia="宋体" w:cs="宋体"/>
              <w:b/>
              <w:bCs/>
              <w:sz w:val="28"/>
              <w:szCs w:val="28"/>
            </w:rPr>
            <w:t>第三章 工程量清单</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_Toc30205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15</w:t>
          </w:r>
          <w:r>
            <w:rPr>
              <w:rFonts w:hint="eastAsia" w:ascii="宋体" w:hAnsi="宋体" w:eastAsia="宋体" w:cs="宋体"/>
              <w:b/>
              <w:bCs/>
              <w:sz w:val="28"/>
              <w:szCs w:val="28"/>
            </w:rPr>
            <w:fldChar w:fldCharType="end"/>
          </w:r>
          <w:r>
            <w:rPr>
              <w:rFonts w:hint="eastAsia" w:ascii="宋体" w:hAnsi="宋体" w:eastAsia="宋体" w:cs="宋体"/>
              <w:b/>
              <w:bCs/>
              <w:kern w:val="2"/>
              <w:sz w:val="28"/>
              <w:szCs w:val="28"/>
              <w:lang w:val="en-US" w:eastAsia="zh-CN" w:bidi="ar-SA"/>
            </w:rPr>
            <w:fldChar w:fldCharType="end"/>
          </w:r>
        </w:p>
        <w:p>
          <w:pPr>
            <w:pStyle w:val="23"/>
            <w:tabs>
              <w:tab w:val="right" w:leader="dot" w:pos="9298"/>
            </w:tabs>
            <w:spacing w:line="480" w:lineRule="auto"/>
            <w:rPr>
              <w:rFonts w:hint="default" w:ascii="宋体" w:hAnsi="宋体" w:eastAsia="宋体" w:cs="宋体"/>
              <w:b/>
              <w:bCs/>
              <w:sz w:val="28"/>
              <w:szCs w:val="28"/>
              <w:lang w:val="en-US"/>
            </w:rPr>
          </w:pPr>
          <w:r>
            <w:rPr>
              <w:rFonts w:hint="eastAsia" w:ascii="宋体" w:hAnsi="宋体" w:eastAsia="宋体" w:cs="宋体"/>
              <w:b/>
              <w:bCs/>
              <w:kern w:val="2"/>
              <w:sz w:val="28"/>
              <w:szCs w:val="28"/>
              <w:lang w:val="en-US" w:eastAsia="zh-CN" w:bidi="ar-SA"/>
            </w:rPr>
            <w:fldChar w:fldCharType="begin"/>
          </w:r>
          <w:r>
            <w:rPr>
              <w:rFonts w:hint="eastAsia" w:ascii="宋体" w:hAnsi="宋体" w:eastAsia="宋体" w:cs="宋体"/>
              <w:b/>
              <w:bCs/>
              <w:kern w:val="2"/>
              <w:sz w:val="28"/>
              <w:szCs w:val="28"/>
              <w:lang w:val="en-US" w:eastAsia="zh-CN" w:bidi="ar-SA"/>
            </w:rPr>
            <w:instrText xml:space="preserve"> HYPERLINK \l _Toc12824 </w:instrText>
          </w:r>
          <w:r>
            <w:rPr>
              <w:rFonts w:hint="eastAsia" w:ascii="宋体" w:hAnsi="宋体" w:eastAsia="宋体" w:cs="宋体"/>
              <w:b/>
              <w:bCs/>
              <w:kern w:val="2"/>
              <w:sz w:val="28"/>
              <w:szCs w:val="28"/>
              <w:lang w:val="en-US" w:eastAsia="zh-CN" w:bidi="ar-SA"/>
            </w:rPr>
            <w:fldChar w:fldCharType="separate"/>
          </w:r>
          <w:r>
            <w:rPr>
              <w:rFonts w:hint="eastAsia" w:ascii="宋体" w:hAnsi="宋体" w:eastAsia="宋体" w:cs="宋体"/>
              <w:b/>
              <w:bCs/>
              <w:sz w:val="28"/>
              <w:szCs w:val="28"/>
            </w:rPr>
            <w:t>第四章 合同主要条款（仅供参考）</w:t>
          </w:r>
          <w:r>
            <w:rPr>
              <w:rFonts w:hint="eastAsia" w:ascii="宋体" w:hAnsi="宋体" w:eastAsia="宋体" w:cs="宋体"/>
              <w:b/>
              <w:bCs/>
              <w:sz w:val="28"/>
              <w:szCs w:val="28"/>
            </w:rPr>
            <w:tab/>
          </w:r>
          <w:r>
            <w:rPr>
              <w:rFonts w:hint="eastAsia" w:ascii="宋体" w:hAnsi="宋体" w:cs="宋体"/>
              <w:b/>
              <w:bCs/>
              <w:sz w:val="28"/>
              <w:szCs w:val="28"/>
              <w:lang w:val="en-US" w:eastAsia="zh-CN"/>
            </w:rPr>
            <w:t>2</w:t>
          </w:r>
          <w:r>
            <w:rPr>
              <w:rFonts w:hint="eastAsia" w:ascii="宋体" w:hAnsi="宋体" w:eastAsia="宋体" w:cs="宋体"/>
              <w:b/>
              <w:bCs/>
              <w:kern w:val="2"/>
              <w:sz w:val="28"/>
              <w:szCs w:val="28"/>
              <w:lang w:val="en-US" w:eastAsia="zh-CN" w:bidi="ar-SA"/>
            </w:rPr>
            <w:fldChar w:fldCharType="end"/>
          </w:r>
          <w:r>
            <w:rPr>
              <w:rFonts w:hint="eastAsia" w:ascii="宋体" w:hAnsi="宋体" w:cs="宋体"/>
              <w:b/>
              <w:bCs/>
              <w:kern w:val="2"/>
              <w:sz w:val="28"/>
              <w:szCs w:val="28"/>
              <w:lang w:val="en-US" w:eastAsia="zh-CN" w:bidi="ar-SA"/>
            </w:rPr>
            <w:t>5</w:t>
          </w:r>
        </w:p>
        <w:p>
          <w:pPr>
            <w:pStyle w:val="23"/>
            <w:tabs>
              <w:tab w:val="right" w:leader="dot" w:pos="9298"/>
            </w:tabs>
            <w:spacing w:line="480" w:lineRule="auto"/>
            <w:rPr>
              <w:rFonts w:hint="eastAsia" w:ascii="宋体" w:hAnsi="宋体" w:eastAsia="宋体" w:cs="宋体"/>
              <w:b/>
              <w:bCs/>
              <w:sz w:val="28"/>
              <w:szCs w:val="28"/>
            </w:rPr>
          </w:pPr>
          <w:r>
            <w:rPr>
              <w:rFonts w:hint="eastAsia" w:ascii="宋体" w:hAnsi="宋体" w:eastAsia="宋体" w:cs="宋体"/>
              <w:b/>
              <w:bCs/>
              <w:kern w:val="2"/>
              <w:sz w:val="28"/>
              <w:szCs w:val="28"/>
              <w:lang w:val="en-US" w:eastAsia="zh-CN" w:bidi="ar-SA"/>
            </w:rPr>
            <w:fldChar w:fldCharType="begin"/>
          </w:r>
          <w:r>
            <w:rPr>
              <w:rFonts w:hint="eastAsia" w:ascii="宋体" w:hAnsi="宋体" w:eastAsia="宋体" w:cs="宋体"/>
              <w:b/>
              <w:bCs/>
              <w:kern w:val="2"/>
              <w:sz w:val="28"/>
              <w:szCs w:val="28"/>
              <w:lang w:val="en-US" w:eastAsia="zh-CN" w:bidi="ar-SA"/>
            </w:rPr>
            <w:instrText xml:space="preserve"> HYPERLINK \l _Toc24485 </w:instrText>
          </w:r>
          <w:r>
            <w:rPr>
              <w:rFonts w:hint="eastAsia" w:ascii="宋体" w:hAnsi="宋体" w:eastAsia="宋体" w:cs="宋体"/>
              <w:b/>
              <w:bCs/>
              <w:kern w:val="2"/>
              <w:sz w:val="28"/>
              <w:szCs w:val="28"/>
              <w:lang w:val="en-US" w:eastAsia="zh-CN" w:bidi="ar-SA"/>
            </w:rPr>
            <w:fldChar w:fldCharType="separate"/>
          </w:r>
          <w:r>
            <w:rPr>
              <w:rFonts w:hint="eastAsia" w:ascii="宋体" w:hAnsi="宋体" w:eastAsia="宋体" w:cs="宋体"/>
              <w:b/>
              <w:bCs/>
              <w:sz w:val="28"/>
              <w:szCs w:val="28"/>
            </w:rPr>
            <w:t>第五章 磋商办法</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_Toc24485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46</w:t>
          </w:r>
          <w:r>
            <w:rPr>
              <w:rFonts w:hint="eastAsia" w:ascii="宋体" w:hAnsi="宋体" w:eastAsia="宋体" w:cs="宋体"/>
              <w:b/>
              <w:bCs/>
              <w:sz w:val="28"/>
              <w:szCs w:val="28"/>
            </w:rPr>
            <w:fldChar w:fldCharType="end"/>
          </w:r>
          <w:r>
            <w:rPr>
              <w:rFonts w:hint="eastAsia" w:ascii="宋体" w:hAnsi="宋体" w:eastAsia="宋体" w:cs="宋体"/>
              <w:b/>
              <w:bCs/>
              <w:kern w:val="2"/>
              <w:sz w:val="28"/>
              <w:szCs w:val="28"/>
              <w:lang w:val="en-US" w:eastAsia="zh-CN" w:bidi="ar-SA"/>
            </w:rPr>
            <w:fldChar w:fldCharType="end"/>
          </w:r>
        </w:p>
        <w:p>
          <w:pPr>
            <w:pStyle w:val="23"/>
            <w:tabs>
              <w:tab w:val="right" w:leader="dot" w:pos="9298"/>
            </w:tabs>
            <w:spacing w:line="480" w:lineRule="auto"/>
          </w:pPr>
          <w:r>
            <w:rPr>
              <w:rFonts w:hint="eastAsia" w:ascii="宋体" w:hAnsi="宋体" w:eastAsia="宋体" w:cs="宋体"/>
              <w:b/>
              <w:bCs/>
              <w:kern w:val="2"/>
              <w:sz w:val="28"/>
              <w:szCs w:val="28"/>
              <w:lang w:val="en-US" w:eastAsia="zh-CN" w:bidi="ar-SA"/>
            </w:rPr>
            <w:fldChar w:fldCharType="begin"/>
          </w:r>
          <w:r>
            <w:rPr>
              <w:rFonts w:hint="eastAsia" w:ascii="宋体" w:hAnsi="宋体" w:eastAsia="宋体" w:cs="宋体"/>
              <w:b/>
              <w:bCs/>
              <w:kern w:val="2"/>
              <w:sz w:val="28"/>
              <w:szCs w:val="28"/>
              <w:lang w:val="en-US" w:eastAsia="zh-CN" w:bidi="ar-SA"/>
            </w:rPr>
            <w:instrText xml:space="preserve"> HYPERLINK \l _Toc3921 </w:instrText>
          </w:r>
          <w:r>
            <w:rPr>
              <w:rFonts w:hint="eastAsia" w:ascii="宋体" w:hAnsi="宋体" w:eastAsia="宋体" w:cs="宋体"/>
              <w:b/>
              <w:bCs/>
              <w:kern w:val="2"/>
              <w:sz w:val="28"/>
              <w:szCs w:val="28"/>
              <w:lang w:val="en-US" w:eastAsia="zh-CN" w:bidi="ar-SA"/>
            </w:rPr>
            <w:fldChar w:fldCharType="separate"/>
          </w:r>
          <w:r>
            <w:rPr>
              <w:rFonts w:hint="eastAsia" w:ascii="宋体" w:hAnsi="宋体" w:eastAsia="宋体" w:cs="宋体"/>
              <w:b/>
              <w:bCs/>
              <w:sz w:val="28"/>
              <w:szCs w:val="28"/>
            </w:rPr>
            <w:t>第六章</w:t>
          </w:r>
          <w:r>
            <w:rPr>
              <w:rFonts w:hint="eastAsia" w:ascii="宋体" w:hAnsi="宋体" w:eastAsia="宋体" w:cs="宋体"/>
              <w:b/>
              <w:bCs/>
              <w:sz w:val="28"/>
              <w:szCs w:val="28"/>
              <w:lang w:val="en-US" w:eastAsia="zh-CN"/>
            </w:rPr>
            <w:t xml:space="preserve"> </w:t>
          </w:r>
          <w:r>
            <w:rPr>
              <w:rFonts w:hint="eastAsia" w:ascii="宋体" w:hAnsi="宋体" w:eastAsia="宋体" w:cs="宋体"/>
              <w:b/>
              <w:bCs/>
              <w:sz w:val="28"/>
              <w:szCs w:val="28"/>
            </w:rPr>
            <w:t>响应文件格式</w:t>
          </w:r>
          <w:r>
            <w:rPr>
              <w:rFonts w:hint="eastAsia" w:ascii="宋体" w:hAnsi="宋体" w:eastAsia="宋体" w:cs="宋体"/>
              <w:b/>
              <w:bCs/>
              <w:sz w:val="28"/>
              <w:szCs w:val="28"/>
            </w:rPr>
            <w:tab/>
          </w:r>
          <w:r>
            <w:rPr>
              <w:rFonts w:hint="eastAsia" w:ascii="宋体" w:hAnsi="宋体" w:eastAsia="宋体" w:cs="宋体"/>
              <w:b/>
              <w:bCs/>
              <w:sz w:val="28"/>
              <w:szCs w:val="28"/>
            </w:rPr>
            <w:fldChar w:fldCharType="begin"/>
          </w:r>
          <w:r>
            <w:rPr>
              <w:rFonts w:hint="eastAsia" w:ascii="宋体" w:hAnsi="宋体" w:eastAsia="宋体" w:cs="宋体"/>
              <w:b/>
              <w:bCs/>
              <w:sz w:val="28"/>
              <w:szCs w:val="28"/>
            </w:rPr>
            <w:instrText xml:space="preserve"> PAGEREF _Toc3921 \h </w:instrText>
          </w:r>
          <w:r>
            <w:rPr>
              <w:rFonts w:hint="eastAsia" w:ascii="宋体" w:hAnsi="宋体" w:eastAsia="宋体" w:cs="宋体"/>
              <w:b/>
              <w:bCs/>
              <w:sz w:val="28"/>
              <w:szCs w:val="28"/>
            </w:rPr>
            <w:fldChar w:fldCharType="separate"/>
          </w:r>
          <w:r>
            <w:rPr>
              <w:rFonts w:hint="eastAsia" w:ascii="宋体" w:hAnsi="宋体" w:eastAsia="宋体" w:cs="宋体"/>
              <w:b/>
              <w:bCs/>
              <w:sz w:val="28"/>
              <w:szCs w:val="28"/>
            </w:rPr>
            <w:t>51</w:t>
          </w:r>
          <w:r>
            <w:rPr>
              <w:rFonts w:hint="eastAsia" w:ascii="宋体" w:hAnsi="宋体" w:eastAsia="宋体" w:cs="宋体"/>
              <w:b/>
              <w:bCs/>
              <w:sz w:val="28"/>
              <w:szCs w:val="28"/>
            </w:rPr>
            <w:fldChar w:fldCharType="end"/>
          </w:r>
          <w:r>
            <w:rPr>
              <w:rFonts w:hint="eastAsia" w:ascii="宋体" w:hAnsi="宋体" w:eastAsia="宋体" w:cs="宋体"/>
              <w:b/>
              <w:bCs/>
              <w:kern w:val="2"/>
              <w:sz w:val="28"/>
              <w:szCs w:val="28"/>
              <w:lang w:val="en-US" w:eastAsia="zh-CN" w:bidi="ar-SA"/>
            </w:rPr>
            <w:fldChar w:fldCharType="end"/>
          </w:r>
        </w:p>
        <w:p>
          <w:pPr>
            <w:bidi w:val="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Cs w:val="21"/>
              <w:lang w:val="en-US" w:eastAsia="zh-CN" w:bidi="ar-SA"/>
            </w:rPr>
            <w:fldChar w:fldCharType="end"/>
          </w:r>
        </w:p>
      </w:sdtContent>
    </w:sdt>
    <w:p>
      <w:pPr>
        <w:bidi w:val="0"/>
        <w:rPr>
          <w:rFonts w:hint="eastAsia"/>
          <w:lang w:val="en-US" w:eastAsia="zh-CN"/>
        </w:rPr>
      </w:pPr>
    </w:p>
    <w:p>
      <w:pPr>
        <w:tabs>
          <w:tab w:val="left" w:pos="5552"/>
        </w:tabs>
        <w:bidi w:val="0"/>
        <w:jc w:val="left"/>
        <w:rPr>
          <w:rFonts w:hint="eastAsia"/>
          <w:lang w:val="en-US" w:eastAsia="zh-CN"/>
        </w:rPr>
      </w:pPr>
      <w:r>
        <w:rPr>
          <w:rFonts w:hint="eastAsia"/>
          <w:lang w:val="en-US" w:eastAsia="zh-CN"/>
        </w:rPr>
        <w:tab/>
      </w:r>
    </w:p>
    <w:p>
      <w:pPr>
        <w:keepNext w:val="0"/>
        <w:keepLines w:val="0"/>
        <w:pageBreakBefore/>
        <w:widowControl/>
        <w:kinsoku/>
        <w:wordWrap/>
        <w:overflowPunct/>
        <w:topLinePunct w:val="0"/>
        <w:autoSpaceDE/>
        <w:autoSpaceDN/>
        <w:bidi w:val="0"/>
        <w:adjustRightInd/>
        <w:snapToGrid/>
        <w:spacing w:after="0"/>
        <w:jc w:val="center"/>
        <w:textAlignment w:val="auto"/>
        <w:outlineLvl w:val="0"/>
        <w:rPr>
          <w:rFonts w:hint="eastAsia" w:ascii="宋体" w:hAnsi="宋体" w:eastAsia="宋体" w:cs="宋体"/>
          <w:b/>
          <w:bCs/>
          <w:sz w:val="44"/>
          <w:szCs w:val="44"/>
        </w:rPr>
      </w:pPr>
      <w:bookmarkStart w:id="4" w:name="_Toc5485"/>
      <w:r>
        <w:rPr>
          <w:rFonts w:hint="eastAsia" w:ascii="宋体" w:hAnsi="宋体" w:eastAsia="宋体" w:cs="宋体"/>
          <w:b/>
          <w:bCs/>
          <w:sz w:val="44"/>
          <w:szCs w:val="44"/>
        </w:rPr>
        <w:t>第一</w:t>
      </w:r>
      <w:bookmarkStart w:id="5" w:name="_Toc421694648"/>
      <w:bookmarkStart w:id="6" w:name="_Toc470076917"/>
      <w:bookmarkStart w:id="7" w:name="_Toc380758902"/>
      <w:bookmarkStart w:id="8" w:name="_Toc469902618"/>
      <w:r>
        <w:rPr>
          <w:rFonts w:hint="eastAsia" w:ascii="宋体" w:hAnsi="宋体" w:eastAsia="宋体" w:cs="宋体"/>
          <w:b/>
          <w:bCs/>
          <w:sz w:val="44"/>
          <w:szCs w:val="44"/>
        </w:rPr>
        <w:t>章  竞争性磋商公告</w:t>
      </w:r>
      <w:bookmarkEnd w:id="4"/>
      <w:bookmarkEnd w:id="5"/>
      <w:bookmarkEnd w:id="6"/>
      <w:bookmarkEnd w:id="7"/>
      <w:bookmarkEnd w:id="8"/>
    </w:p>
    <w:p>
      <w:pPr>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firstLine="600" w:firstLineChars="200"/>
        <w:jc w:val="center"/>
        <w:textAlignment w:val="auto"/>
        <w:outlineLvl w:val="9"/>
        <w:rPr>
          <w:rFonts w:hint="eastAsia" w:ascii="宋体" w:hAnsi="宋体" w:eastAsia="宋体" w:cs="宋体"/>
          <w:b w:val="0"/>
          <w:bCs/>
          <w:color w:val="auto"/>
          <w:sz w:val="30"/>
          <w:szCs w:val="30"/>
        </w:rPr>
      </w:pPr>
      <w:bookmarkStart w:id="9" w:name="_Toc470076920"/>
      <w:bookmarkStart w:id="10" w:name="_Toc26571"/>
      <w:bookmarkStart w:id="11" w:name="_Toc11337"/>
      <w:bookmarkStart w:id="12" w:name="_Toc27873"/>
      <w:r>
        <w:rPr>
          <w:rFonts w:hint="eastAsia" w:ascii="宋体" w:hAnsi="宋体" w:cs="宋体"/>
          <w:b w:val="0"/>
          <w:bCs/>
          <w:color w:val="auto"/>
          <w:sz w:val="30"/>
          <w:szCs w:val="30"/>
          <w:lang w:eastAsia="zh-CN"/>
        </w:rPr>
        <w:t>林州市开元街道办事处2024年林州市开元街道田西峪村村组道路项目</w:t>
      </w:r>
      <w:r>
        <w:rPr>
          <w:rFonts w:hint="eastAsia" w:ascii="宋体" w:hAnsi="宋体" w:eastAsia="宋体" w:cs="宋体"/>
          <w:b w:val="0"/>
          <w:bCs/>
          <w:sz w:val="30"/>
          <w:szCs w:val="30"/>
        </w:rPr>
        <w:t>竞争性磋商公告</w:t>
      </w:r>
    </w:p>
    <w:p>
      <w:pPr>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firstLine="482" w:firstLineChars="200"/>
        <w:jc w:val="left"/>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项目概况</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color w:val="auto"/>
          <w:sz w:val="24"/>
          <w:szCs w:val="24"/>
        </w:rPr>
      </w:pPr>
      <w:r>
        <w:rPr>
          <w:rFonts w:hint="eastAsia" w:ascii="宋体" w:hAnsi="宋体" w:cs="宋体"/>
          <w:bCs/>
          <w:color w:val="auto"/>
          <w:sz w:val="24"/>
          <w:szCs w:val="24"/>
          <w:lang w:eastAsia="zh-CN"/>
        </w:rPr>
        <w:t>林州市开元街道办事处2024年林州市开元街道田西峪村村组道路项目</w:t>
      </w:r>
      <w:r>
        <w:rPr>
          <w:rFonts w:hint="eastAsia" w:ascii="宋体" w:hAnsi="宋体" w:eastAsia="宋体" w:cs="宋体"/>
          <w:color w:val="auto"/>
          <w:sz w:val="24"/>
          <w:szCs w:val="24"/>
        </w:rPr>
        <w:t>的潜在投标人应登陆</w:t>
      </w:r>
      <w:r>
        <w:rPr>
          <w:rFonts w:hint="eastAsia" w:ascii="宋体" w:hAnsi="宋体" w:cs="宋体"/>
          <w:color w:val="auto"/>
          <w:sz w:val="24"/>
          <w:szCs w:val="24"/>
          <w:lang w:eastAsia="zh-CN"/>
        </w:rPr>
        <w:t>林州市公共资源交易中心</w:t>
      </w:r>
      <w:r>
        <w:rPr>
          <w:rFonts w:hint="eastAsia" w:ascii="宋体" w:hAnsi="宋体" w:eastAsia="宋体" w:cs="宋体"/>
          <w:color w:val="auto"/>
          <w:sz w:val="24"/>
          <w:szCs w:val="24"/>
        </w:rPr>
        <w:t>（</w:t>
      </w:r>
      <w:r>
        <w:rPr>
          <w:rFonts w:hint="eastAsia" w:ascii="宋体" w:hAnsi="宋体" w:cs="宋体"/>
          <w:color w:val="auto"/>
          <w:sz w:val="24"/>
          <w:szCs w:val="24"/>
          <w:lang w:eastAsia="zh-CN"/>
        </w:rPr>
        <w:t>http://xwz.ggzy.anyang.gov.cn:2345/lzggzy/</w:t>
      </w:r>
      <w:r>
        <w:rPr>
          <w:rFonts w:hint="eastAsia" w:ascii="宋体" w:hAnsi="宋体" w:eastAsia="宋体" w:cs="宋体"/>
          <w:color w:val="auto"/>
          <w:sz w:val="24"/>
          <w:szCs w:val="24"/>
        </w:rPr>
        <w:t>）网站</w:t>
      </w:r>
      <w:r>
        <w:rPr>
          <w:rFonts w:hint="eastAsia" w:ascii="宋体" w:hAnsi="宋体" w:cs="宋体"/>
          <w:color w:val="auto"/>
          <w:sz w:val="24"/>
          <w:szCs w:val="24"/>
          <w:lang w:val="en-US" w:eastAsia="zh-CN"/>
        </w:rPr>
        <w:t>,</w:t>
      </w:r>
      <w:r>
        <w:rPr>
          <w:rFonts w:hint="eastAsia" w:ascii="宋体" w:hAnsi="宋体" w:eastAsia="宋体" w:cs="宋体"/>
          <w:color w:val="auto"/>
          <w:sz w:val="24"/>
          <w:szCs w:val="24"/>
        </w:rPr>
        <w:t>凭企业数字证书获取电子版</w:t>
      </w:r>
      <w:r>
        <w:rPr>
          <w:rFonts w:hint="eastAsia" w:ascii="宋体" w:hAnsi="宋体" w:eastAsia="宋体" w:cs="宋体"/>
          <w:color w:val="auto"/>
          <w:sz w:val="24"/>
          <w:szCs w:val="24"/>
          <w:lang w:eastAsia="zh-CN"/>
        </w:rPr>
        <w:t>竞争性磋商文件</w:t>
      </w:r>
      <w:r>
        <w:rPr>
          <w:rFonts w:hint="eastAsia" w:ascii="宋体" w:hAnsi="宋体" w:eastAsia="宋体" w:cs="宋体"/>
          <w:color w:val="auto"/>
          <w:sz w:val="24"/>
          <w:szCs w:val="24"/>
        </w:rPr>
        <w:t>及其它资料</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并于</w:t>
      </w:r>
      <w:r>
        <w:rPr>
          <w:rFonts w:hint="eastAsia" w:ascii="宋体" w:hAnsi="宋体" w:cs="宋体"/>
          <w:color w:val="auto"/>
          <w:sz w:val="24"/>
          <w:szCs w:val="24"/>
          <w:lang w:eastAsia="zh-CN"/>
        </w:rPr>
        <w:t>2024年06月</w:t>
      </w:r>
      <w:r>
        <w:rPr>
          <w:rFonts w:hint="eastAsia" w:ascii="宋体" w:hAnsi="宋体" w:cs="宋体"/>
          <w:color w:val="auto"/>
          <w:sz w:val="24"/>
          <w:szCs w:val="24"/>
          <w:lang w:val="en-US" w:eastAsia="zh-CN"/>
        </w:rPr>
        <w:t>13日0</w:t>
      </w:r>
      <w:r>
        <w:rPr>
          <w:rFonts w:hint="eastAsia" w:ascii="宋体" w:hAnsi="宋体" w:eastAsia="宋体" w:cs="宋体"/>
          <w:color w:val="auto"/>
          <w:sz w:val="24"/>
          <w:szCs w:val="24"/>
          <w:lang w:val="en-US" w:eastAsia="zh-CN"/>
        </w:rPr>
        <w:t>9</w:t>
      </w:r>
      <w:r>
        <w:rPr>
          <w:rFonts w:hint="eastAsia" w:ascii="宋体" w:hAnsi="宋体" w:eastAsia="宋体" w:cs="宋体"/>
          <w:color w:val="auto"/>
          <w:sz w:val="24"/>
          <w:szCs w:val="24"/>
        </w:rPr>
        <w:t>点00分（北京时间）前提交响应文件。</w:t>
      </w:r>
    </w:p>
    <w:p>
      <w:pPr>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firstLine="482" w:firstLineChars="200"/>
        <w:jc w:val="left"/>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一、项目基本情况：</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cs="宋体"/>
          <w:bCs/>
          <w:color w:val="auto"/>
          <w:sz w:val="24"/>
          <w:szCs w:val="24"/>
          <w:lang w:eastAsia="zh-CN"/>
        </w:rPr>
      </w:pPr>
      <w:r>
        <w:rPr>
          <w:rFonts w:hint="eastAsia" w:ascii="宋体" w:hAnsi="宋体" w:cs="宋体"/>
          <w:bCs/>
          <w:color w:val="auto"/>
          <w:sz w:val="24"/>
          <w:szCs w:val="24"/>
          <w:lang w:eastAsia="zh-CN"/>
        </w:rPr>
        <w:t>1.采购项目名称：林州市开元街道办事处2024年林州市开元街道田西峪村村组道路项目</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default" w:ascii="宋体" w:hAnsi="宋体" w:cs="宋体"/>
          <w:bCs/>
          <w:color w:val="auto"/>
          <w:sz w:val="24"/>
          <w:szCs w:val="24"/>
          <w:lang w:val="en-US" w:eastAsia="zh-CN"/>
        </w:rPr>
      </w:pPr>
      <w:r>
        <w:rPr>
          <w:rFonts w:hint="eastAsia" w:ascii="宋体" w:hAnsi="宋体" w:cs="宋体"/>
          <w:bCs/>
          <w:color w:val="auto"/>
          <w:sz w:val="24"/>
          <w:szCs w:val="24"/>
          <w:lang w:eastAsia="zh-CN"/>
        </w:rPr>
        <w:t>2</w:t>
      </w:r>
      <w:r>
        <w:rPr>
          <w:rFonts w:hint="eastAsia" w:ascii="宋体" w:hAnsi="宋体" w:cs="宋体"/>
          <w:bCs/>
          <w:color w:val="auto"/>
          <w:sz w:val="24"/>
          <w:szCs w:val="24"/>
          <w:lang w:val="en-US" w:eastAsia="zh-CN"/>
        </w:rPr>
        <w:t>.</w:t>
      </w:r>
      <w:r>
        <w:rPr>
          <w:rFonts w:hint="eastAsia" w:ascii="宋体" w:hAnsi="宋体" w:cs="宋体"/>
          <w:bCs/>
          <w:color w:val="auto"/>
          <w:sz w:val="24"/>
          <w:szCs w:val="24"/>
          <w:lang w:eastAsia="zh-CN"/>
        </w:rPr>
        <w:t>采购编号：</w:t>
      </w:r>
      <w:r>
        <w:rPr>
          <w:rFonts w:hint="eastAsia" w:ascii="宋体" w:hAnsi="宋体" w:cs="宋体"/>
          <w:bCs/>
          <w:color w:val="auto"/>
          <w:sz w:val="24"/>
          <w:szCs w:val="24"/>
          <w:lang w:val="en-US" w:eastAsia="zh-CN"/>
        </w:rPr>
        <w:t>林财磋商采购-2024-CS38</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cs="宋体"/>
          <w:bCs/>
          <w:color w:val="auto"/>
          <w:sz w:val="24"/>
          <w:szCs w:val="24"/>
          <w:lang w:eastAsia="zh-CN"/>
        </w:rPr>
      </w:pPr>
      <w:r>
        <w:rPr>
          <w:rFonts w:hint="eastAsia" w:ascii="宋体" w:hAnsi="宋体" w:cs="宋体"/>
          <w:bCs/>
          <w:color w:val="auto"/>
          <w:sz w:val="24"/>
          <w:szCs w:val="24"/>
          <w:lang w:eastAsia="zh-CN"/>
        </w:rPr>
        <w:t>3</w:t>
      </w:r>
      <w:r>
        <w:rPr>
          <w:rFonts w:hint="eastAsia" w:ascii="宋体" w:hAnsi="宋体" w:cs="宋体"/>
          <w:bCs/>
          <w:color w:val="auto"/>
          <w:sz w:val="24"/>
          <w:szCs w:val="24"/>
          <w:lang w:val="en-US" w:eastAsia="zh-CN"/>
        </w:rPr>
        <w:t>.</w:t>
      </w:r>
      <w:r>
        <w:rPr>
          <w:rFonts w:hint="eastAsia" w:ascii="宋体" w:hAnsi="宋体" w:cs="宋体"/>
          <w:bCs/>
          <w:color w:val="auto"/>
          <w:sz w:val="24"/>
          <w:szCs w:val="24"/>
          <w:lang w:eastAsia="zh-CN"/>
        </w:rPr>
        <w:t>采购方式：竞争性磋商</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cs="宋体"/>
          <w:bCs/>
          <w:color w:val="auto"/>
          <w:sz w:val="24"/>
          <w:szCs w:val="24"/>
          <w:lang w:eastAsia="zh-CN"/>
        </w:rPr>
      </w:pPr>
      <w:r>
        <w:rPr>
          <w:rFonts w:hint="eastAsia" w:ascii="宋体" w:hAnsi="宋体" w:cs="宋体"/>
          <w:bCs/>
          <w:color w:val="auto"/>
          <w:sz w:val="24"/>
          <w:szCs w:val="24"/>
          <w:lang w:eastAsia="zh-CN"/>
        </w:rPr>
        <w:t>4</w:t>
      </w:r>
      <w:r>
        <w:rPr>
          <w:rFonts w:hint="eastAsia" w:ascii="宋体" w:hAnsi="宋体" w:cs="宋体"/>
          <w:bCs/>
          <w:color w:val="auto"/>
          <w:sz w:val="24"/>
          <w:szCs w:val="24"/>
          <w:lang w:val="en-US" w:eastAsia="zh-CN"/>
        </w:rPr>
        <w:t>.</w:t>
      </w:r>
      <w:r>
        <w:rPr>
          <w:rFonts w:hint="eastAsia" w:ascii="宋体" w:hAnsi="宋体" w:cs="宋体"/>
          <w:bCs/>
          <w:color w:val="auto"/>
          <w:sz w:val="24"/>
          <w:szCs w:val="24"/>
          <w:lang w:eastAsia="zh-CN"/>
        </w:rPr>
        <w:t>预算金额：</w:t>
      </w:r>
      <w:r>
        <w:rPr>
          <w:rFonts w:hint="eastAsia" w:ascii="宋体" w:hAnsi="宋体" w:cs="宋体"/>
          <w:bCs/>
          <w:color w:val="auto"/>
          <w:sz w:val="24"/>
          <w:szCs w:val="24"/>
          <w:lang w:val="en-US" w:eastAsia="zh-CN"/>
        </w:rPr>
        <w:t>786034.69</w:t>
      </w:r>
      <w:r>
        <w:rPr>
          <w:rFonts w:hint="eastAsia" w:ascii="宋体" w:hAnsi="宋体" w:cs="宋体"/>
          <w:bCs/>
          <w:color w:val="auto"/>
          <w:sz w:val="24"/>
          <w:szCs w:val="24"/>
          <w:lang w:eastAsia="zh-CN"/>
        </w:rPr>
        <w:t>元</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cs="宋体"/>
          <w:bCs/>
          <w:color w:val="auto"/>
          <w:sz w:val="24"/>
          <w:szCs w:val="24"/>
          <w:lang w:eastAsia="zh-CN"/>
        </w:rPr>
      </w:pPr>
      <w:r>
        <w:rPr>
          <w:rFonts w:hint="eastAsia" w:ascii="宋体" w:hAnsi="宋体" w:cs="宋体"/>
          <w:bCs/>
          <w:color w:val="auto"/>
          <w:sz w:val="24"/>
          <w:szCs w:val="24"/>
          <w:lang w:val="en-US" w:eastAsia="zh-CN"/>
        </w:rPr>
        <w:t>最高限价：786034.69</w:t>
      </w:r>
      <w:r>
        <w:rPr>
          <w:rFonts w:hint="eastAsia" w:ascii="宋体" w:hAnsi="宋体" w:cs="宋体"/>
          <w:bCs/>
          <w:color w:val="auto"/>
          <w:sz w:val="24"/>
          <w:szCs w:val="24"/>
          <w:lang w:eastAsia="zh-CN"/>
        </w:rPr>
        <w:t>元</w:t>
      </w:r>
    </w:p>
    <w:tbl>
      <w:tblPr>
        <w:tblStyle w:val="37"/>
        <w:tblW w:w="499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6"/>
        <w:gridCol w:w="3538"/>
        <w:gridCol w:w="1125"/>
        <w:gridCol w:w="1200"/>
        <w:gridCol w:w="1462"/>
        <w:gridCol w:w="14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jc w:val="center"/>
        </w:trPr>
        <w:tc>
          <w:tcPr>
            <w:tcW w:w="392" w:type="pct"/>
            <w:vAlign w:val="center"/>
          </w:tcPr>
          <w:p>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right="0" w:firstLine="0" w:firstLineChars="0"/>
              <w:jc w:val="center"/>
              <w:textAlignment w:val="auto"/>
              <w:outlineLvl w:val="9"/>
              <w:rPr>
                <w:rFonts w:hint="eastAsia" w:ascii="宋体" w:hAnsi="宋体" w:eastAsia="宋体" w:cs="宋体"/>
                <w:bCs/>
                <w:color w:val="auto"/>
                <w:sz w:val="20"/>
                <w:szCs w:val="20"/>
                <w:highlight w:val="none"/>
                <w:vertAlign w:val="baseline"/>
                <w:lang w:val="en-US" w:eastAsia="zh-CN"/>
              </w:rPr>
            </w:pPr>
            <w:r>
              <w:rPr>
                <w:rFonts w:hint="eastAsia" w:ascii="宋体" w:hAnsi="宋体" w:eastAsia="宋体" w:cs="宋体"/>
                <w:bCs/>
                <w:color w:val="auto"/>
                <w:sz w:val="20"/>
                <w:szCs w:val="20"/>
                <w:highlight w:val="none"/>
                <w:vertAlign w:val="baseline"/>
                <w:lang w:val="en-US" w:eastAsia="zh-CN"/>
              </w:rPr>
              <w:t>序号</w:t>
            </w:r>
          </w:p>
        </w:tc>
        <w:tc>
          <w:tcPr>
            <w:tcW w:w="1861" w:type="pct"/>
            <w:vAlign w:val="center"/>
          </w:tcPr>
          <w:p>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right="0" w:firstLine="0" w:firstLineChars="0"/>
              <w:jc w:val="center"/>
              <w:textAlignment w:val="auto"/>
              <w:outlineLvl w:val="9"/>
              <w:rPr>
                <w:rFonts w:hint="eastAsia" w:ascii="宋体" w:hAnsi="宋体" w:eastAsia="宋体" w:cs="宋体"/>
                <w:bCs/>
                <w:color w:val="auto"/>
                <w:sz w:val="20"/>
                <w:szCs w:val="20"/>
                <w:highlight w:val="none"/>
                <w:vertAlign w:val="baseline"/>
                <w:lang w:val="en-US" w:eastAsia="zh-CN"/>
              </w:rPr>
            </w:pPr>
            <w:r>
              <w:rPr>
                <w:rFonts w:hint="eastAsia" w:ascii="宋体" w:hAnsi="宋体" w:eastAsia="宋体" w:cs="宋体"/>
                <w:bCs/>
                <w:color w:val="auto"/>
                <w:sz w:val="20"/>
                <w:szCs w:val="20"/>
                <w:highlight w:val="none"/>
                <w:vertAlign w:val="baseline"/>
                <w:lang w:val="en-US" w:eastAsia="zh-CN"/>
              </w:rPr>
              <w:t>包名称</w:t>
            </w:r>
          </w:p>
        </w:tc>
        <w:tc>
          <w:tcPr>
            <w:tcW w:w="591" w:type="pct"/>
            <w:vAlign w:val="center"/>
          </w:tcPr>
          <w:p>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right="0" w:firstLine="0" w:firstLineChars="0"/>
              <w:jc w:val="center"/>
              <w:textAlignment w:val="auto"/>
              <w:outlineLvl w:val="9"/>
              <w:rPr>
                <w:rFonts w:hint="eastAsia" w:ascii="宋体" w:hAnsi="宋体" w:eastAsia="宋体" w:cs="宋体"/>
                <w:bCs/>
                <w:color w:val="auto"/>
                <w:sz w:val="20"/>
                <w:szCs w:val="20"/>
                <w:highlight w:val="none"/>
                <w:vertAlign w:val="baseline"/>
                <w:lang w:val="en-US" w:eastAsia="zh-CN"/>
              </w:rPr>
            </w:pPr>
            <w:r>
              <w:rPr>
                <w:rFonts w:hint="eastAsia" w:ascii="宋体" w:hAnsi="宋体" w:eastAsia="宋体" w:cs="宋体"/>
                <w:bCs/>
                <w:color w:val="auto"/>
                <w:sz w:val="20"/>
                <w:szCs w:val="20"/>
                <w:highlight w:val="none"/>
                <w:vertAlign w:val="baseline"/>
                <w:lang w:val="en-US" w:eastAsia="zh-CN"/>
              </w:rPr>
              <w:t>包预算</w:t>
            </w:r>
          </w:p>
          <w:p>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right="0" w:firstLine="0" w:firstLineChars="0"/>
              <w:jc w:val="center"/>
              <w:textAlignment w:val="auto"/>
              <w:outlineLvl w:val="9"/>
              <w:rPr>
                <w:rFonts w:hint="eastAsia" w:ascii="宋体" w:hAnsi="宋体" w:eastAsia="宋体" w:cs="宋体"/>
                <w:bCs/>
                <w:color w:val="auto"/>
                <w:sz w:val="20"/>
                <w:szCs w:val="20"/>
                <w:highlight w:val="none"/>
                <w:vertAlign w:val="baseline"/>
                <w:lang w:val="en-US" w:eastAsia="zh-CN"/>
              </w:rPr>
            </w:pPr>
            <w:r>
              <w:rPr>
                <w:rFonts w:hint="eastAsia" w:ascii="宋体" w:hAnsi="宋体" w:eastAsia="宋体" w:cs="宋体"/>
                <w:bCs/>
                <w:color w:val="auto"/>
                <w:sz w:val="20"/>
                <w:szCs w:val="20"/>
                <w:highlight w:val="none"/>
                <w:vertAlign w:val="baseline"/>
                <w:lang w:val="en-US" w:eastAsia="zh-CN"/>
              </w:rPr>
              <w:t>（元）</w:t>
            </w:r>
          </w:p>
        </w:tc>
        <w:tc>
          <w:tcPr>
            <w:tcW w:w="631" w:type="pct"/>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firstLine="0" w:firstLineChars="0"/>
              <w:jc w:val="center"/>
              <w:textAlignment w:val="auto"/>
              <w:outlineLvl w:val="9"/>
              <w:rPr>
                <w:rFonts w:hint="eastAsia" w:ascii="宋体" w:hAnsi="宋体" w:eastAsia="宋体" w:cs="宋体"/>
                <w:color w:val="333333"/>
                <w:kern w:val="0"/>
                <w:sz w:val="20"/>
                <w:szCs w:val="20"/>
                <w:lang w:val="en-US" w:eastAsia="zh-CN" w:bidi="ar"/>
              </w:rPr>
            </w:pPr>
            <w:r>
              <w:rPr>
                <w:rFonts w:hint="eastAsia" w:ascii="宋体" w:hAnsi="宋体" w:eastAsia="宋体" w:cs="宋体"/>
                <w:color w:val="333333"/>
                <w:kern w:val="0"/>
                <w:sz w:val="20"/>
                <w:szCs w:val="20"/>
                <w:lang w:val="en-US" w:eastAsia="zh-CN" w:bidi="ar"/>
              </w:rPr>
              <w:t>包最高限价</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firstLine="0" w:firstLineChars="0"/>
              <w:jc w:val="center"/>
              <w:textAlignment w:val="auto"/>
              <w:outlineLvl w:val="9"/>
              <w:rPr>
                <w:rFonts w:hint="eastAsia" w:ascii="宋体" w:hAnsi="宋体" w:eastAsia="宋体" w:cs="宋体"/>
                <w:bCs/>
                <w:color w:val="auto"/>
                <w:sz w:val="20"/>
                <w:szCs w:val="20"/>
                <w:highlight w:val="none"/>
                <w:vertAlign w:val="baseline"/>
                <w:lang w:val="en-US" w:eastAsia="zh-CN"/>
              </w:rPr>
            </w:pPr>
            <w:r>
              <w:rPr>
                <w:rFonts w:hint="eastAsia" w:ascii="宋体" w:hAnsi="宋体" w:eastAsia="宋体" w:cs="宋体"/>
                <w:color w:val="333333"/>
                <w:kern w:val="0"/>
                <w:sz w:val="20"/>
                <w:szCs w:val="20"/>
                <w:lang w:val="en-US" w:eastAsia="zh-CN" w:bidi="ar"/>
              </w:rPr>
              <w:t>（元）</w:t>
            </w:r>
          </w:p>
        </w:tc>
        <w:tc>
          <w:tcPr>
            <w:tcW w:w="769" w:type="pct"/>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firstLine="0" w:firstLineChars="0"/>
              <w:jc w:val="center"/>
              <w:textAlignment w:val="auto"/>
              <w:outlineLvl w:val="9"/>
              <w:rPr>
                <w:rFonts w:hint="eastAsia" w:ascii="宋体" w:hAnsi="宋体" w:eastAsia="宋体" w:cs="宋体"/>
                <w:color w:val="333333"/>
                <w:kern w:val="0"/>
                <w:sz w:val="20"/>
                <w:szCs w:val="20"/>
                <w:lang w:val="en-US" w:eastAsia="zh-CN" w:bidi="ar"/>
              </w:rPr>
            </w:pPr>
            <w:r>
              <w:rPr>
                <w:rFonts w:hint="eastAsia" w:ascii="宋体" w:hAnsi="宋体" w:eastAsia="宋体" w:cs="宋体"/>
                <w:color w:val="333333"/>
                <w:kern w:val="0"/>
                <w:sz w:val="20"/>
                <w:szCs w:val="20"/>
                <w:lang w:val="en-US" w:eastAsia="zh-CN" w:bidi="ar"/>
              </w:rPr>
              <w:t>是否专门面向</w:t>
            </w:r>
          </w:p>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firstLine="0" w:firstLineChars="0"/>
              <w:jc w:val="center"/>
              <w:textAlignment w:val="auto"/>
              <w:outlineLvl w:val="9"/>
              <w:rPr>
                <w:rFonts w:hint="eastAsia" w:ascii="宋体" w:hAnsi="宋体" w:eastAsia="宋体" w:cs="宋体"/>
                <w:bCs/>
                <w:color w:val="auto"/>
                <w:sz w:val="20"/>
                <w:szCs w:val="20"/>
                <w:highlight w:val="none"/>
                <w:vertAlign w:val="baseline"/>
                <w:lang w:val="en-US" w:eastAsia="zh-CN"/>
              </w:rPr>
            </w:pPr>
            <w:r>
              <w:rPr>
                <w:rFonts w:hint="eastAsia" w:ascii="宋体" w:hAnsi="宋体" w:eastAsia="宋体" w:cs="宋体"/>
                <w:color w:val="333333"/>
                <w:kern w:val="0"/>
                <w:sz w:val="20"/>
                <w:szCs w:val="20"/>
                <w:lang w:val="en-US" w:eastAsia="zh-CN" w:bidi="ar"/>
              </w:rPr>
              <w:t>中小企业</w:t>
            </w:r>
          </w:p>
        </w:tc>
        <w:tc>
          <w:tcPr>
            <w:tcW w:w="753" w:type="pct"/>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0" w:afterAutospacing="0" w:line="240" w:lineRule="auto"/>
              <w:ind w:firstLine="0" w:firstLineChars="0"/>
              <w:jc w:val="center"/>
              <w:textAlignment w:val="auto"/>
              <w:outlineLvl w:val="9"/>
              <w:rPr>
                <w:rFonts w:hint="eastAsia" w:ascii="宋体" w:hAnsi="宋体" w:eastAsia="宋体" w:cs="宋体"/>
                <w:bCs/>
                <w:color w:val="auto"/>
                <w:sz w:val="20"/>
                <w:szCs w:val="20"/>
                <w:highlight w:val="none"/>
                <w:vertAlign w:val="baseline"/>
                <w:lang w:val="en-US" w:eastAsia="zh-CN"/>
              </w:rPr>
            </w:pPr>
            <w:r>
              <w:rPr>
                <w:rFonts w:hint="eastAsia" w:ascii="宋体" w:hAnsi="宋体" w:eastAsia="宋体" w:cs="宋体"/>
                <w:color w:val="333333"/>
                <w:kern w:val="0"/>
                <w:sz w:val="20"/>
                <w:szCs w:val="20"/>
                <w:lang w:val="en-US" w:eastAsia="zh-CN" w:bidi="ar"/>
              </w:rPr>
              <w:t>采购预留金额（元）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1" w:hRule="atLeast"/>
          <w:jc w:val="center"/>
        </w:trPr>
        <w:tc>
          <w:tcPr>
            <w:tcW w:w="392" w:type="pct"/>
            <w:vAlign w:val="center"/>
          </w:tcPr>
          <w:p>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right="0" w:firstLine="0" w:firstLineChars="0"/>
              <w:jc w:val="center"/>
              <w:textAlignment w:val="auto"/>
              <w:outlineLvl w:val="9"/>
              <w:rPr>
                <w:rFonts w:hint="eastAsia" w:ascii="宋体" w:hAnsi="宋体" w:eastAsia="宋体" w:cs="宋体"/>
                <w:bCs/>
                <w:color w:val="auto"/>
                <w:sz w:val="20"/>
                <w:szCs w:val="20"/>
                <w:highlight w:val="none"/>
                <w:vertAlign w:val="baseline"/>
                <w:lang w:val="en-US" w:eastAsia="zh-CN"/>
              </w:rPr>
            </w:pPr>
            <w:r>
              <w:rPr>
                <w:rFonts w:hint="eastAsia" w:ascii="宋体" w:hAnsi="宋体" w:eastAsia="宋体" w:cs="宋体"/>
                <w:bCs/>
                <w:color w:val="auto"/>
                <w:sz w:val="20"/>
                <w:szCs w:val="20"/>
                <w:highlight w:val="none"/>
                <w:vertAlign w:val="baseline"/>
                <w:lang w:val="en-US" w:eastAsia="zh-CN"/>
              </w:rPr>
              <w:t>1</w:t>
            </w:r>
          </w:p>
        </w:tc>
        <w:tc>
          <w:tcPr>
            <w:tcW w:w="1861" w:type="pct"/>
            <w:vAlign w:val="center"/>
          </w:tcPr>
          <w:p>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right="0" w:firstLine="0" w:firstLineChars="0"/>
              <w:jc w:val="center"/>
              <w:textAlignment w:val="auto"/>
              <w:outlineLvl w:val="9"/>
              <w:rPr>
                <w:rFonts w:hint="eastAsia" w:ascii="宋体" w:hAnsi="宋体" w:eastAsia="宋体" w:cs="宋体"/>
                <w:bCs/>
                <w:color w:val="auto"/>
                <w:sz w:val="20"/>
                <w:szCs w:val="20"/>
                <w:highlight w:val="none"/>
                <w:vertAlign w:val="baseline"/>
                <w:lang w:val="en-US" w:eastAsia="zh-CN"/>
              </w:rPr>
            </w:pPr>
            <w:r>
              <w:rPr>
                <w:rFonts w:hint="eastAsia" w:ascii="宋体" w:hAnsi="宋体" w:cs="宋体"/>
                <w:bCs/>
                <w:color w:val="auto"/>
                <w:kern w:val="0"/>
                <w:sz w:val="20"/>
                <w:szCs w:val="20"/>
                <w:highlight w:val="none"/>
                <w:lang w:val="en-US" w:eastAsia="zh-CN"/>
              </w:rPr>
              <w:t>林州市开元街道办事处2024年林州市开元街道田西峪村村组道路项目</w:t>
            </w:r>
          </w:p>
        </w:tc>
        <w:tc>
          <w:tcPr>
            <w:tcW w:w="591" w:type="pct"/>
            <w:vAlign w:val="center"/>
          </w:tcPr>
          <w:p>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right="0" w:firstLine="0" w:firstLineChars="0"/>
              <w:jc w:val="center"/>
              <w:textAlignment w:val="auto"/>
              <w:outlineLvl w:val="9"/>
              <w:rPr>
                <w:rFonts w:hint="eastAsia" w:ascii="宋体" w:hAnsi="宋体" w:eastAsia="宋体" w:cs="宋体"/>
                <w:bCs/>
                <w:color w:val="auto"/>
                <w:sz w:val="20"/>
                <w:szCs w:val="20"/>
                <w:highlight w:val="none"/>
                <w:vertAlign w:val="baseline"/>
                <w:lang w:val="en-US" w:eastAsia="zh-CN"/>
              </w:rPr>
            </w:pPr>
            <w:r>
              <w:rPr>
                <w:rFonts w:hint="eastAsia" w:ascii="宋体" w:hAnsi="宋体" w:cs="宋体"/>
                <w:bCs/>
                <w:color w:val="auto"/>
                <w:kern w:val="0"/>
                <w:sz w:val="20"/>
                <w:szCs w:val="20"/>
                <w:highlight w:val="none"/>
                <w:lang w:val="en-US" w:eastAsia="zh-CN"/>
              </w:rPr>
              <w:t>786034.69</w:t>
            </w:r>
          </w:p>
        </w:tc>
        <w:tc>
          <w:tcPr>
            <w:tcW w:w="631" w:type="pct"/>
            <w:vAlign w:val="center"/>
          </w:tcPr>
          <w:p>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right="0" w:firstLine="0" w:firstLineChars="0"/>
              <w:jc w:val="center"/>
              <w:textAlignment w:val="auto"/>
              <w:outlineLvl w:val="9"/>
              <w:rPr>
                <w:rFonts w:hint="eastAsia" w:ascii="宋体" w:hAnsi="宋体" w:eastAsia="宋体" w:cs="宋体"/>
                <w:bCs/>
                <w:color w:val="auto"/>
                <w:sz w:val="20"/>
                <w:szCs w:val="20"/>
                <w:highlight w:val="none"/>
                <w:vertAlign w:val="baseline"/>
                <w:lang w:val="en-US" w:eastAsia="zh-CN"/>
              </w:rPr>
            </w:pPr>
            <w:r>
              <w:rPr>
                <w:rFonts w:hint="eastAsia" w:ascii="宋体" w:hAnsi="宋体" w:cs="宋体"/>
                <w:bCs/>
                <w:color w:val="auto"/>
                <w:kern w:val="0"/>
                <w:sz w:val="20"/>
                <w:szCs w:val="20"/>
                <w:highlight w:val="none"/>
                <w:lang w:val="en-US" w:eastAsia="zh-CN"/>
              </w:rPr>
              <w:t>786034.69</w:t>
            </w:r>
          </w:p>
        </w:tc>
        <w:tc>
          <w:tcPr>
            <w:tcW w:w="769" w:type="pct"/>
            <w:vAlign w:val="center"/>
          </w:tcPr>
          <w:p>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right="0" w:firstLine="0" w:firstLineChars="0"/>
              <w:jc w:val="center"/>
              <w:textAlignment w:val="auto"/>
              <w:outlineLvl w:val="9"/>
              <w:rPr>
                <w:rFonts w:hint="eastAsia" w:ascii="宋体" w:hAnsi="宋体" w:eastAsia="宋体" w:cs="宋体"/>
                <w:bCs/>
                <w:color w:val="auto"/>
                <w:sz w:val="20"/>
                <w:szCs w:val="20"/>
                <w:highlight w:val="none"/>
                <w:vertAlign w:val="baseline"/>
                <w:lang w:val="en-US" w:eastAsia="zh-CN"/>
              </w:rPr>
            </w:pPr>
            <w:r>
              <w:rPr>
                <w:rFonts w:hint="eastAsia" w:ascii="宋体" w:hAnsi="宋体" w:eastAsia="宋体" w:cs="宋体"/>
                <w:bCs/>
                <w:color w:val="auto"/>
                <w:sz w:val="20"/>
                <w:szCs w:val="20"/>
                <w:highlight w:val="none"/>
                <w:vertAlign w:val="baseline"/>
                <w:lang w:val="en-US" w:eastAsia="zh-CN"/>
              </w:rPr>
              <w:t>是</w:t>
            </w:r>
          </w:p>
        </w:tc>
        <w:tc>
          <w:tcPr>
            <w:tcW w:w="753" w:type="pct"/>
            <w:vAlign w:val="center"/>
          </w:tcPr>
          <w:p>
            <w:pPr>
              <w:keepNext w:val="0"/>
              <w:keepLines w:val="0"/>
              <w:pageBreakBefore w:val="0"/>
              <w:widowControl w:val="0"/>
              <w:kinsoku/>
              <w:wordWrap/>
              <w:overflowPunct/>
              <w:topLinePunct w:val="0"/>
              <w:autoSpaceDE/>
              <w:autoSpaceDN/>
              <w:bidi w:val="0"/>
              <w:adjustRightInd/>
              <w:snapToGrid/>
              <w:spacing w:beforeAutospacing="0" w:after="0" w:afterAutospacing="0" w:line="240" w:lineRule="auto"/>
              <w:ind w:right="0" w:firstLine="0" w:firstLineChars="0"/>
              <w:jc w:val="center"/>
              <w:textAlignment w:val="auto"/>
              <w:outlineLvl w:val="9"/>
              <w:rPr>
                <w:rFonts w:hint="eastAsia" w:ascii="宋体" w:hAnsi="宋体" w:eastAsia="宋体" w:cs="宋体"/>
                <w:bCs/>
                <w:color w:val="auto"/>
                <w:sz w:val="20"/>
                <w:szCs w:val="20"/>
                <w:highlight w:val="none"/>
                <w:vertAlign w:val="baseline"/>
                <w:lang w:val="en-US" w:eastAsia="zh-CN"/>
              </w:rPr>
            </w:pPr>
            <w:r>
              <w:rPr>
                <w:rFonts w:hint="eastAsia" w:ascii="宋体" w:hAnsi="宋体" w:cs="宋体"/>
                <w:bCs/>
                <w:color w:val="auto"/>
                <w:kern w:val="0"/>
                <w:sz w:val="20"/>
                <w:szCs w:val="20"/>
                <w:highlight w:val="none"/>
                <w:lang w:val="en-US" w:eastAsia="zh-CN"/>
              </w:rPr>
              <w:t>786034.69</w:t>
            </w:r>
          </w:p>
        </w:tc>
      </w:tr>
    </w:tbl>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lang w:eastAsia="zh-CN"/>
        </w:rPr>
        <w:t>采购需求（包括但不限于标的的名称、数量、简要技术需求或服务要求等）：</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lang w:eastAsia="zh-CN"/>
        </w:rPr>
        <w:t xml:space="preserve">.1 </w:t>
      </w:r>
      <w:r>
        <w:rPr>
          <w:rFonts w:hint="eastAsia" w:ascii="宋体" w:hAnsi="宋体" w:eastAsia="宋体" w:cs="宋体"/>
          <w:bCs/>
          <w:color w:val="auto"/>
          <w:sz w:val="24"/>
          <w:szCs w:val="24"/>
          <w:lang w:val="en-US" w:eastAsia="zh-CN"/>
        </w:rPr>
        <w:t>招标</w:t>
      </w:r>
      <w:r>
        <w:rPr>
          <w:rFonts w:hint="eastAsia" w:ascii="宋体" w:hAnsi="宋体" w:eastAsia="宋体" w:cs="宋体"/>
          <w:bCs/>
          <w:color w:val="auto"/>
          <w:sz w:val="24"/>
          <w:szCs w:val="24"/>
          <w:lang w:eastAsia="zh-CN"/>
        </w:rPr>
        <w:t>范围：工程量清单范围内的所有内容（</w:t>
      </w:r>
      <w:r>
        <w:rPr>
          <w:rFonts w:hint="eastAsia" w:ascii="宋体" w:hAnsi="宋体" w:eastAsia="宋体" w:cs="宋体"/>
          <w:bCs/>
          <w:color w:val="auto"/>
          <w:sz w:val="24"/>
          <w:szCs w:val="24"/>
          <w:lang w:val="en-US" w:eastAsia="zh-CN"/>
        </w:rPr>
        <w:t>详见工程量清单</w:t>
      </w:r>
      <w:r>
        <w:rPr>
          <w:rFonts w:hint="eastAsia" w:ascii="宋体" w:hAnsi="宋体" w:eastAsia="宋体" w:cs="宋体"/>
          <w:bCs/>
          <w:color w:val="auto"/>
          <w:sz w:val="24"/>
          <w:szCs w:val="24"/>
          <w:lang w:eastAsia="zh-CN"/>
        </w:rPr>
        <w:t>）</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lang w:eastAsia="zh-CN"/>
        </w:rPr>
        <w:t>.2 资金来源：</w:t>
      </w:r>
      <w:r>
        <w:rPr>
          <w:rFonts w:hint="eastAsia" w:ascii="宋体" w:hAnsi="宋体" w:eastAsia="宋体" w:cs="宋体"/>
          <w:bCs/>
          <w:color w:val="auto"/>
          <w:sz w:val="24"/>
          <w:szCs w:val="24"/>
          <w:lang w:val="en-US" w:eastAsia="zh-CN"/>
        </w:rPr>
        <w:t>财政资金</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w:t>
      </w:r>
      <w:r>
        <w:rPr>
          <w:rFonts w:hint="eastAsia" w:ascii="宋体" w:hAnsi="宋体" w:eastAsia="宋体" w:cs="宋体"/>
          <w:bCs/>
          <w:color w:val="auto"/>
          <w:sz w:val="24"/>
          <w:szCs w:val="24"/>
          <w:lang w:eastAsia="zh-CN"/>
        </w:rPr>
        <w:t>.3 质量要求：</w:t>
      </w:r>
      <w:r>
        <w:rPr>
          <w:rFonts w:hint="eastAsia" w:ascii="宋体" w:hAnsi="宋体" w:eastAsia="宋体" w:cs="宋体"/>
          <w:bCs/>
          <w:color w:val="auto"/>
          <w:sz w:val="24"/>
          <w:szCs w:val="24"/>
          <w:lang w:val="en-US" w:eastAsia="zh-CN"/>
        </w:rPr>
        <w:t>按照国家施工及验收规范达到合格标</w:t>
      </w:r>
      <w:bookmarkStart w:id="974" w:name="_GoBack"/>
      <w:bookmarkEnd w:id="974"/>
      <w:r>
        <w:rPr>
          <w:rFonts w:hint="eastAsia" w:ascii="宋体" w:hAnsi="宋体" w:eastAsia="宋体" w:cs="宋体"/>
          <w:bCs/>
          <w:color w:val="auto"/>
          <w:sz w:val="24"/>
          <w:szCs w:val="24"/>
          <w:lang w:val="en-US" w:eastAsia="zh-CN"/>
        </w:rPr>
        <w:t>准</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5.4</w:t>
      </w:r>
      <w:r>
        <w:rPr>
          <w:rFonts w:hint="eastAsia" w:ascii="宋体" w:hAnsi="宋体" w:eastAsia="宋体" w:cs="宋体"/>
          <w:bCs/>
          <w:color w:val="auto"/>
          <w:sz w:val="24"/>
          <w:szCs w:val="24"/>
          <w:lang w:eastAsia="zh-CN"/>
        </w:rPr>
        <w:t>建设地点：林州市境内</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6.合同履行期限（</w:t>
      </w:r>
      <w:r>
        <w:rPr>
          <w:rFonts w:hint="eastAsia" w:ascii="宋体" w:hAnsi="宋体" w:eastAsia="宋体" w:cs="宋体"/>
          <w:bCs/>
          <w:color w:val="auto"/>
          <w:sz w:val="24"/>
          <w:szCs w:val="24"/>
          <w:lang w:eastAsia="zh-CN"/>
        </w:rPr>
        <w:t>工期</w:t>
      </w:r>
      <w:r>
        <w:rPr>
          <w:rFonts w:hint="eastAsia" w:ascii="宋体" w:hAnsi="宋体" w:eastAsia="宋体" w:cs="宋体"/>
          <w:bCs/>
          <w:color w:val="auto"/>
          <w:sz w:val="24"/>
          <w:szCs w:val="24"/>
          <w:lang w:val="en-US" w:eastAsia="zh-CN"/>
        </w:rPr>
        <w:t>）：</w:t>
      </w:r>
      <w:r>
        <w:rPr>
          <w:rFonts w:hint="eastAsia" w:ascii="宋体" w:hAnsi="宋体" w:cs="宋体"/>
          <w:bCs/>
          <w:color w:val="auto"/>
          <w:sz w:val="24"/>
          <w:szCs w:val="24"/>
          <w:lang w:val="en-US" w:eastAsia="zh-CN"/>
        </w:rPr>
        <w:t>45</w:t>
      </w:r>
      <w:r>
        <w:rPr>
          <w:rFonts w:hint="eastAsia" w:ascii="宋体" w:hAnsi="宋体" w:eastAsia="宋体" w:cs="宋体"/>
          <w:bCs/>
          <w:color w:val="auto"/>
          <w:sz w:val="24"/>
          <w:szCs w:val="24"/>
          <w:lang w:val="en-US" w:eastAsia="zh-CN"/>
        </w:rPr>
        <w:t>日历天</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7.</w:t>
      </w:r>
      <w:r>
        <w:rPr>
          <w:rFonts w:hint="eastAsia" w:ascii="宋体" w:hAnsi="宋体" w:eastAsia="宋体" w:cs="宋体"/>
          <w:bCs/>
          <w:color w:val="auto"/>
          <w:sz w:val="24"/>
          <w:szCs w:val="24"/>
          <w:lang w:eastAsia="zh-CN"/>
        </w:rPr>
        <w:t>本项目是否接受联合体投标：否</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8.</w:t>
      </w:r>
      <w:r>
        <w:rPr>
          <w:rFonts w:hint="eastAsia" w:ascii="宋体" w:hAnsi="宋体" w:eastAsia="宋体" w:cs="宋体"/>
          <w:bCs/>
          <w:color w:val="auto"/>
          <w:sz w:val="24"/>
          <w:szCs w:val="24"/>
          <w:lang w:eastAsia="zh-CN"/>
        </w:rPr>
        <w:t>是否接受进口产品：否</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9.是否专门面向中小企业：是</w:t>
      </w:r>
    </w:p>
    <w:p>
      <w:pPr>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firstLine="482" w:firstLineChars="200"/>
        <w:jc w:val="left"/>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二、申请人的资格要求：</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bookmarkStart w:id="13" w:name="_Toc179632534"/>
      <w:bookmarkStart w:id="14" w:name="_Toc152042293"/>
      <w:bookmarkStart w:id="15" w:name="_Toc144974485"/>
      <w:bookmarkStart w:id="16" w:name="_Toc247085678"/>
      <w:bookmarkStart w:id="17" w:name="_Toc152045517"/>
      <w:bookmarkStart w:id="18" w:name="_Toc246996907"/>
      <w:bookmarkStart w:id="19" w:name="_Toc246996164"/>
      <w:bookmarkStart w:id="20" w:name="_Toc296602408"/>
      <w:r>
        <w:rPr>
          <w:rFonts w:hint="eastAsia" w:ascii="宋体" w:hAnsi="宋体" w:eastAsia="宋体" w:cs="宋体"/>
          <w:bCs/>
          <w:color w:val="auto"/>
          <w:sz w:val="24"/>
          <w:szCs w:val="24"/>
          <w:lang w:val="en-US" w:eastAsia="zh-CN"/>
        </w:rPr>
        <w:t xml:space="preserve">1.满足《中华人民共和国政府采购法》第二十二条规定； </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 xml:space="preserve">2.落实政府采购政策满足的资格要求：强制节能产品强制采购、节能产品、环境标志产品及贫困地区产品优先采购、促进中小企业发展扶持政策、进口产品政策、信息安全产品、社会信用体系建设、促进残疾人就业、支持监狱企业发展等。 </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3.本项目的特定资格要求：</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3.1 符合《中华人民共和国政府采购法》第二十二条规定，并提供下列材料：</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（一）具有独立承担民事责任的能力，具有有效的营业执照；</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（二）具有良好的商业信誉和健全的财务会计制度（提供近三年内任意一年的财务审计报告，企业成立不足一年的须提供从成立月份起的财务证明资料）；</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（三）具有履行合同所必需的设备和专业技术能力（承诺具有履行合同所必需的设备和专业技术能力）；</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（四）</w:t>
      </w:r>
      <w:r>
        <w:rPr>
          <w:rFonts w:hint="eastAsia" w:ascii="宋体" w:hAnsi="宋体" w:eastAsia="宋体" w:cs="宋体"/>
          <w:bCs/>
          <w:color w:val="auto"/>
          <w:sz w:val="24"/>
          <w:szCs w:val="24"/>
          <w:lang w:val="en-US" w:eastAsia="zh-CN"/>
        </w:rPr>
        <w:t>具</w:t>
      </w:r>
      <w:r>
        <w:rPr>
          <w:rFonts w:hint="eastAsia" w:ascii="宋体" w:hAnsi="宋体" w:eastAsia="宋体" w:cs="宋体"/>
          <w:bCs/>
          <w:color w:val="auto"/>
          <w:sz w:val="24"/>
          <w:szCs w:val="24"/>
          <w:lang w:eastAsia="zh-CN"/>
        </w:rPr>
        <w:t>有依法缴纳税收和社会保障资金的良好记录（依法缴纳税收提供</w:t>
      </w:r>
      <w:r>
        <w:rPr>
          <w:rFonts w:hint="eastAsia" w:ascii="宋体" w:hAnsi="宋体" w:eastAsia="宋体" w:cs="宋体"/>
          <w:bCs/>
          <w:color w:val="auto"/>
          <w:sz w:val="24"/>
          <w:szCs w:val="24"/>
          <w:lang w:val="en-US" w:eastAsia="zh-CN"/>
        </w:rPr>
        <w:t>2024年1月份以来</w:t>
      </w:r>
      <w:r>
        <w:rPr>
          <w:rFonts w:hint="eastAsia" w:ascii="宋体" w:hAnsi="宋体" w:eastAsia="宋体" w:cs="宋体"/>
          <w:bCs/>
          <w:color w:val="auto"/>
          <w:sz w:val="24"/>
          <w:szCs w:val="24"/>
          <w:lang w:eastAsia="zh-CN"/>
        </w:rPr>
        <w:t>任意1个月缴纳税收凭据，依法免税的，应提供相应文件证明；依法缴纳社会保障资金提供</w:t>
      </w:r>
      <w:r>
        <w:rPr>
          <w:rFonts w:hint="eastAsia" w:ascii="宋体" w:hAnsi="宋体" w:eastAsia="宋体" w:cs="宋体"/>
          <w:bCs/>
          <w:color w:val="auto"/>
          <w:sz w:val="24"/>
          <w:szCs w:val="24"/>
          <w:lang w:val="en-US" w:eastAsia="zh-CN"/>
        </w:rPr>
        <w:t>2024年1月份以来</w:t>
      </w:r>
      <w:r>
        <w:rPr>
          <w:rFonts w:hint="eastAsia" w:ascii="宋体" w:hAnsi="宋体" w:eastAsia="宋体" w:cs="宋体"/>
          <w:bCs/>
          <w:color w:val="auto"/>
          <w:sz w:val="24"/>
          <w:szCs w:val="24"/>
          <w:lang w:eastAsia="zh-CN"/>
        </w:rPr>
        <w:t>任意1个月缴纳社会保险凭据）；</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（五）参加政府采购活动前三年内，在经营活动中没有重大违法记录（书面承诺）；</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（六）法律、行政法规规定的其他条件（书面承诺）。</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3.2</w:t>
      </w:r>
      <w:r>
        <w:rPr>
          <w:rFonts w:hint="eastAsia" w:ascii="宋体" w:hAnsi="宋体" w:eastAsia="宋体" w:cs="宋体"/>
          <w:bCs/>
          <w:color w:val="auto"/>
          <w:sz w:val="24"/>
          <w:szCs w:val="24"/>
          <w:lang w:eastAsia="zh-CN"/>
        </w:rPr>
        <w:t>投标人须具备建设行政主管部门颁发的市政公用工程施工总承包</w:t>
      </w:r>
      <w:r>
        <w:rPr>
          <w:rFonts w:hint="eastAsia" w:ascii="宋体" w:hAnsi="宋体" w:eastAsia="宋体" w:cs="宋体"/>
          <w:bCs/>
          <w:color w:val="auto"/>
          <w:sz w:val="24"/>
          <w:szCs w:val="24"/>
          <w:lang w:val="en-US" w:eastAsia="zh-CN"/>
        </w:rPr>
        <w:t>叁</w:t>
      </w:r>
      <w:r>
        <w:rPr>
          <w:rFonts w:hint="eastAsia" w:ascii="宋体" w:hAnsi="宋体" w:eastAsia="宋体" w:cs="宋体"/>
          <w:bCs/>
          <w:color w:val="auto"/>
          <w:sz w:val="24"/>
          <w:szCs w:val="24"/>
          <w:lang w:eastAsia="zh-CN"/>
        </w:rPr>
        <w:t>级及以上资质，并在人员、设备、资金等方面具有相应的能力；</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3.3拟派项目经理须具有</w:t>
      </w:r>
      <w:r>
        <w:rPr>
          <w:rFonts w:hint="eastAsia" w:ascii="宋体" w:hAnsi="宋体" w:eastAsia="宋体" w:cs="宋体"/>
          <w:bCs/>
          <w:color w:val="auto"/>
          <w:sz w:val="24"/>
          <w:szCs w:val="24"/>
          <w:lang w:eastAsia="zh-CN"/>
        </w:rPr>
        <w:t>市政公用工程专业</w:t>
      </w:r>
      <w:r>
        <w:rPr>
          <w:rFonts w:hint="eastAsia" w:ascii="宋体" w:hAnsi="宋体" w:eastAsia="宋体" w:cs="宋体"/>
          <w:bCs/>
          <w:color w:val="auto"/>
          <w:sz w:val="24"/>
          <w:szCs w:val="24"/>
          <w:lang w:val="en-US" w:eastAsia="zh-CN"/>
        </w:rPr>
        <w:t>贰</w:t>
      </w:r>
      <w:r>
        <w:rPr>
          <w:rFonts w:hint="eastAsia" w:ascii="宋体" w:hAnsi="宋体" w:eastAsia="宋体" w:cs="宋体"/>
          <w:bCs/>
          <w:color w:val="auto"/>
          <w:sz w:val="24"/>
          <w:szCs w:val="24"/>
          <w:lang w:eastAsia="zh-CN"/>
        </w:rPr>
        <w:t>级及以上注册建造师证书（不含临时）</w:t>
      </w:r>
      <w:r>
        <w:rPr>
          <w:rFonts w:hint="eastAsia" w:ascii="宋体" w:hAnsi="宋体" w:eastAsia="宋体" w:cs="宋体"/>
          <w:bCs/>
          <w:color w:val="auto"/>
          <w:sz w:val="24"/>
          <w:szCs w:val="24"/>
          <w:lang w:val="en-US" w:eastAsia="zh-CN"/>
        </w:rPr>
        <w:t>，具备有效的安全生产考核合格证书，且不得有在建工程（要求出具无在建工程书面承诺书），一经查实有在建工程取消中标资格（项目经理承担的合同工程已完工或变更手续齐全以及符合规定情形的，应在投标文件中提供相应证明材料，评标时可视为无在建工程，开标后提供的不予认可）；</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3.4技术负责人须具备中级及以上技术职称；现场管理人员（施工员、质量员、安全员、材料员、资料员）均需提供岗位证书；</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3.5根据《关于在政府采购活动中查询及使用信用记录有关问题的通知》(财库﹝2016﹞125号)和豫财购﹝2016﹞15号的规定，对列入失信被执行人、重大税收违法失信主体、政府采购严重违法失信行为记录名单的供应商，拒绝参与本项目采购活动。（查询渠道：“中国执行信息公开网”（http://zxgk.court.gov.cn/shixin/）、“信用中国”（www.creditchina.gov.cn）、“中国政府采购网”（www.ccgp.gov.cn）；</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3.6本次采购不接受联合体投标。</w:t>
      </w:r>
    </w:p>
    <w:p>
      <w:pPr>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firstLine="482" w:firstLineChars="200"/>
        <w:jc w:val="left"/>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rPr>
        <w:t>三、获取</w:t>
      </w:r>
      <w:r>
        <w:rPr>
          <w:rFonts w:hint="eastAsia" w:ascii="宋体" w:hAnsi="宋体" w:eastAsia="宋体" w:cs="宋体"/>
          <w:b/>
          <w:bCs/>
          <w:color w:val="auto"/>
          <w:sz w:val="24"/>
          <w:szCs w:val="24"/>
          <w:lang w:eastAsia="zh-CN"/>
        </w:rPr>
        <w:t>竞争性磋商文件</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bookmarkStart w:id="21" w:name="_Toc372803960"/>
      <w:bookmarkEnd w:id="21"/>
      <w:bookmarkStart w:id="22" w:name="_Toc419905960"/>
      <w:bookmarkEnd w:id="22"/>
      <w:bookmarkStart w:id="23" w:name="_Toc368905073"/>
      <w:bookmarkEnd w:id="23"/>
      <w:bookmarkStart w:id="24" w:name="_Toc372871245"/>
      <w:bookmarkEnd w:id="24"/>
      <w:r>
        <w:rPr>
          <w:rFonts w:hint="eastAsia" w:ascii="宋体" w:hAnsi="宋体" w:eastAsia="宋体" w:cs="宋体"/>
          <w:bCs/>
          <w:color w:val="auto"/>
          <w:sz w:val="24"/>
          <w:szCs w:val="24"/>
          <w:lang w:val="en-US" w:eastAsia="zh-CN"/>
        </w:rPr>
        <w:t>1.</w:t>
      </w:r>
      <w:r>
        <w:rPr>
          <w:rFonts w:hint="eastAsia" w:ascii="宋体" w:hAnsi="宋体" w:eastAsia="宋体" w:cs="宋体"/>
          <w:bCs/>
          <w:color w:val="auto"/>
          <w:sz w:val="24"/>
          <w:szCs w:val="24"/>
          <w:lang w:eastAsia="zh-CN"/>
        </w:rPr>
        <w:t>时间</w:t>
      </w:r>
      <w:r>
        <w:rPr>
          <w:rFonts w:hint="eastAsia" w:ascii="宋体" w:hAnsi="宋体" w:eastAsia="宋体" w:cs="宋体"/>
          <w:bCs/>
          <w:color w:val="auto"/>
          <w:sz w:val="24"/>
          <w:szCs w:val="24"/>
          <w:lang w:val="en-US" w:eastAsia="zh-CN"/>
        </w:rPr>
        <w:t>：</w:t>
      </w:r>
      <w:r>
        <w:rPr>
          <w:rFonts w:hint="eastAsia" w:ascii="宋体" w:hAnsi="宋体" w:cs="宋体"/>
          <w:bCs/>
          <w:color w:val="auto"/>
          <w:sz w:val="24"/>
          <w:szCs w:val="24"/>
          <w:lang w:eastAsia="zh-CN"/>
        </w:rPr>
        <w:t>2024年06月</w:t>
      </w:r>
      <w:r>
        <w:rPr>
          <w:rFonts w:hint="eastAsia" w:ascii="宋体" w:hAnsi="宋体" w:cs="宋体"/>
          <w:bCs/>
          <w:color w:val="auto"/>
          <w:sz w:val="24"/>
          <w:szCs w:val="24"/>
          <w:lang w:val="en-US" w:eastAsia="zh-CN"/>
        </w:rPr>
        <w:t>03</w:t>
      </w:r>
      <w:r>
        <w:rPr>
          <w:rFonts w:hint="eastAsia" w:ascii="宋体" w:hAnsi="宋体" w:eastAsia="宋体" w:cs="宋体"/>
          <w:bCs/>
          <w:color w:val="auto"/>
          <w:sz w:val="24"/>
          <w:szCs w:val="24"/>
          <w:lang w:eastAsia="zh-CN"/>
        </w:rPr>
        <w:t>日</w:t>
      </w:r>
      <w:r>
        <w:rPr>
          <w:rFonts w:hint="eastAsia" w:ascii="宋体" w:hAnsi="宋体" w:eastAsia="宋体" w:cs="宋体"/>
          <w:bCs/>
          <w:color w:val="auto"/>
          <w:sz w:val="24"/>
          <w:szCs w:val="24"/>
          <w:lang w:val="en-US" w:eastAsia="zh-CN"/>
        </w:rPr>
        <w:t>00：00</w:t>
      </w:r>
      <w:r>
        <w:rPr>
          <w:rFonts w:hint="eastAsia" w:ascii="宋体" w:hAnsi="宋体" w:eastAsia="宋体" w:cs="宋体"/>
          <w:bCs/>
          <w:color w:val="auto"/>
          <w:sz w:val="24"/>
          <w:szCs w:val="24"/>
          <w:lang w:eastAsia="zh-CN"/>
        </w:rPr>
        <w:t>至</w:t>
      </w:r>
      <w:r>
        <w:rPr>
          <w:rFonts w:hint="eastAsia" w:ascii="宋体" w:hAnsi="宋体" w:cs="宋体"/>
          <w:bCs/>
          <w:color w:val="auto"/>
          <w:sz w:val="24"/>
          <w:szCs w:val="24"/>
          <w:lang w:eastAsia="zh-CN"/>
        </w:rPr>
        <w:t>2024年06月</w:t>
      </w:r>
      <w:r>
        <w:rPr>
          <w:rFonts w:hint="eastAsia" w:ascii="宋体" w:hAnsi="宋体" w:cs="宋体"/>
          <w:bCs/>
          <w:color w:val="auto"/>
          <w:sz w:val="24"/>
          <w:szCs w:val="24"/>
          <w:lang w:val="en-US" w:eastAsia="zh-CN"/>
        </w:rPr>
        <w:t>07</w:t>
      </w:r>
      <w:r>
        <w:rPr>
          <w:rFonts w:hint="eastAsia" w:ascii="宋体" w:hAnsi="宋体" w:eastAsia="宋体" w:cs="宋体"/>
          <w:bCs/>
          <w:color w:val="auto"/>
          <w:sz w:val="24"/>
          <w:szCs w:val="24"/>
          <w:lang w:eastAsia="zh-CN"/>
        </w:rPr>
        <w:t>日</w:t>
      </w:r>
      <w:r>
        <w:rPr>
          <w:rFonts w:hint="eastAsia" w:ascii="宋体" w:hAnsi="宋体" w:eastAsia="宋体" w:cs="宋体"/>
          <w:bCs/>
          <w:color w:val="auto"/>
          <w:sz w:val="24"/>
          <w:szCs w:val="24"/>
          <w:lang w:val="en-US" w:eastAsia="zh-CN"/>
        </w:rPr>
        <w:t>23:59</w:t>
      </w:r>
      <w:r>
        <w:rPr>
          <w:rFonts w:hint="eastAsia" w:ascii="宋体" w:hAnsi="宋体" w:eastAsia="宋体" w:cs="宋体"/>
          <w:bCs/>
          <w:color w:val="auto"/>
          <w:sz w:val="24"/>
          <w:szCs w:val="24"/>
          <w:lang w:eastAsia="zh-CN"/>
        </w:rPr>
        <w:t>（北京时间，法定节假日除外 ）</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2.地点：登录林州市公共资源交易中心网站 (http://xwz.ggzy.anyang.gov.cn:2345/lzggzy/)，凭企业数字证书获取采购文件（竞争性磋商文件）。</w:t>
      </w:r>
      <w:r>
        <w:rPr>
          <w:rFonts w:hint="eastAsia" w:ascii="宋体" w:hAnsi="宋体" w:eastAsia="宋体" w:cs="宋体"/>
          <w:bCs/>
          <w:color w:val="auto"/>
          <w:sz w:val="24"/>
          <w:szCs w:val="24"/>
          <w:lang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3.方式：</w:t>
      </w:r>
      <w:r>
        <w:rPr>
          <w:rFonts w:ascii="Segoe UI" w:hAnsi="Segoe UI" w:eastAsia="Segoe UI" w:cs="Segoe UI"/>
          <w:color w:val="333333"/>
          <w:sz w:val="24"/>
          <w:szCs w:val="24"/>
        </w:rPr>
        <w:t>网上获取。供应商需提前办理CA数字证书及电子签章，并登录安阳市公共资源交易中心网站（http://222.139.28.234:2345/tpbidder）完成CA 注册（推荐使用IE浏览器）；具体办理流程请登录安阳市公共资源交易中心网站（http://xwz.ggzy.anyang.gov.cn:2345/ayggzy/）-服务指南-操作手册-《安阳市公共资源交易系统投标人（供应商）操作手册》。如有技术问题请咨询0372-3387737。</w:t>
      </w:r>
      <w:r>
        <w:rPr>
          <w:rFonts w:hint="eastAsia" w:ascii="宋体" w:hAnsi="宋体" w:eastAsia="宋体" w:cs="宋体"/>
          <w:bCs/>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4</w:t>
      </w:r>
      <w:r>
        <w:rPr>
          <w:rFonts w:hint="eastAsia" w:ascii="宋体" w:hAnsi="宋体" w:eastAsia="宋体" w:cs="宋体"/>
          <w:bCs/>
          <w:color w:val="auto"/>
          <w:sz w:val="24"/>
          <w:szCs w:val="24"/>
          <w:lang w:val="en-US" w:eastAsia="zh-CN"/>
        </w:rPr>
        <w:t>.</w:t>
      </w:r>
      <w:r>
        <w:rPr>
          <w:rFonts w:hint="eastAsia" w:ascii="宋体" w:hAnsi="宋体" w:eastAsia="宋体" w:cs="宋体"/>
          <w:bCs/>
          <w:color w:val="auto"/>
          <w:sz w:val="24"/>
          <w:szCs w:val="24"/>
          <w:lang w:eastAsia="zh-CN"/>
        </w:rPr>
        <w:t>售价：0元</w:t>
      </w:r>
    </w:p>
    <w:p>
      <w:pPr>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firstLine="482" w:firstLineChars="200"/>
        <w:jc w:val="left"/>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四、响应文件提交</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bookmarkStart w:id="25" w:name="_Toc368905074"/>
      <w:bookmarkEnd w:id="25"/>
      <w:bookmarkStart w:id="26" w:name="_Toc372803961"/>
      <w:bookmarkEnd w:id="26"/>
      <w:bookmarkStart w:id="27" w:name="_Toc370839744"/>
      <w:bookmarkEnd w:id="27"/>
      <w:bookmarkStart w:id="28" w:name="_Toc213492278"/>
      <w:bookmarkEnd w:id="28"/>
      <w:bookmarkStart w:id="29" w:name="_Toc372871246"/>
      <w:bookmarkEnd w:id="29"/>
      <w:bookmarkStart w:id="30" w:name="_Toc419905961"/>
      <w:bookmarkEnd w:id="30"/>
      <w:r>
        <w:rPr>
          <w:rFonts w:hint="eastAsia" w:ascii="宋体" w:hAnsi="宋体" w:eastAsia="宋体" w:cs="宋体"/>
          <w:bCs/>
          <w:color w:val="auto"/>
          <w:sz w:val="24"/>
          <w:szCs w:val="24"/>
          <w:lang w:eastAsia="zh-CN"/>
        </w:rPr>
        <w:t>1</w:t>
      </w:r>
      <w:r>
        <w:rPr>
          <w:rFonts w:hint="eastAsia" w:ascii="宋体" w:hAnsi="宋体" w:eastAsia="宋体" w:cs="宋体"/>
          <w:bCs/>
          <w:color w:val="auto"/>
          <w:sz w:val="24"/>
          <w:szCs w:val="24"/>
          <w:lang w:val="en-US" w:eastAsia="zh-CN"/>
        </w:rPr>
        <w:t>.</w:t>
      </w:r>
      <w:r>
        <w:rPr>
          <w:rFonts w:hint="eastAsia" w:ascii="宋体" w:hAnsi="宋体" w:eastAsia="宋体" w:cs="宋体"/>
          <w:bCs/>
          <w:color w:val="auto"/>
          <w:sz w:val="24"/>
          <w:szCs w:val="24"/>
          <w:lang w:eastAsia="zh-CN"/>
        </w:rPr>
        <w:t>截止时间：</w:t>
      </w:r>
      <w:r>
        <w:rPr>
          <w:rFonts w:hint="eastAsia" w:ascii="宋体" w:hAnsi="宋体" w:cs="宋体"/>
          <w:color w:val="auto"/>
          <w:sz w:val="24"/>
          <w:szCs w:val="24"/>
          <w:lang w:eastAsia="zh-CN"/>
        </w:rPr>
        <w:t>2024年06月</w:t>
      </w:r>
      <w:r>
        <w:rPr>
          <w:rFonts w:hint="eastAsia" w:ascii="宋体" w:hAnsi="宋体" w:cs="宋体"/>
          <w:color w:val="auto"/>
          <w:sz w:val="24"/>
          <w:szCs w:val="24"/>
          <w:lang w:val="en-US" w:eastAsia="zh-CN"/>
        </w:rPr>
        <w:t>13日</w:t>
      </w:r>
      <w:r>
        <w:rPr>
          <w:rFonts w:hint="eastAsia" w:ascii="宋体" w:hAnsi="宋体" w:eastAsia="宋体" w:cs="宋体"/>
          <w:bCs/>
          <w:color w:val="auto"/>
          <w:sz w:val="24"/>
          <w:szCs w:val="24"/>
          <w:lang w:val="en-US" w:eastAsia="zh-CN"/>
        </w:rPr>
        <w:t>09</w:t>
      </w:r>
      <w:r>
        <w:rPr>
          <w:rFonts w:hint="eastAsia" w:ascii="宋体" w:hAnsi="宋体" w:eastAsia="宋体" w:cs="宋体"/>
          <w:bCs/>
          <w:color w:val="auto"/>
          <w:sz w:val="24"/>
          <w:szCs w:val="24"/>
          <w:lang w:eastAsia="zh-CN"/>
        </w:rPr>
        <w:t xml:space="preserve">点 00 分（北京时间） </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2</w:t>
      </w:r>
      <w:r>
        <w:rPr>
          <w:rFonts w:hint="eastAsia" w:ascii="宋体" w:hAnsi="宋体" w:eastAsia="宋体" w:cs="宋体"/>
          <w:bCs/>
          <w:color w:val="auto"/>
          <w:sz w:val="24"/>
          <w:szCs w:val="24"/>
          <w:lang w:val="en-US" w:eastAsia="zh-CN"/>
        </w:rPr>
        <w:t>.</w:t>
      </w:r>
      <w:r>
        <w:rPr>
          <w:rFonts w:hint="eastAsia" w:ascii="宋体" w:hAnsi="宋体" w:eastAsia="宋体" w:cs="宋体"/>
          <w:bCs/>
          <w:color w:val="auto"/>
          <w:sz w:val="24"/>
          <w:szCs w:val="24"/>
          <w:lang w:eastAsia="zh-CN"/>
        </w:rPr>
        <w:t>地点：</w:t>
      </w:r>
      <w:r>
        <w:rPr>
          <w:rFonts w:hint="eastAsia" w:ascii="宋体" w:hAnsi="宋体" w:eastAsia="宋体" w:cs="宋体"/>
          <w:bCs/>
          <w:color w:val="auto"/>
          <w:sz w:val="24"/>
          <w:szCs w:val="24"/>
          <w:lang w:val="en-US" w:eastAsia="zh-CN"/>
        </w:rPr>
        <w:t>供应商应在响应文件提交截止时间前上传加密的电子投标（响应）文件到安阳市公共资源交易系统（</w:t>
      </w:r>
      <w:r>
        <w:rPr>
          <w:rFonts w:hint="default" w:ascii="宋体" w:hAnsi="宋体" w:eastAsia="宋体" w:cs="宋体"/>
          <w:bCs/>
          <w:color w:val="auto"/>
          <w:sz w:val="24"/>
          <w:szCs w:val="24"/>
          <w:lang w:val="en-US" w:eastAsia="zh-CN"/>
        </w:rPr>
        <w:t>http://222.139.28.234:2345/tpbidder</w:t>
      </w:r>
      <w:r>
        <w:rPr>
          <w:rFonts w:hint="eastAsia" w:ascii="宋体" w:hAnsi="宋体" w:eastAsia="宋体" w:cs="宋体"/>
          <w:bCs/>
          <w:color w:val="auto"/>
          <w:sz w:val="24"/>
          <w:szCs w:val="24"/>
          <w:lang w:val="en-US" w:eastAsia="zh-CN"/>
        </w:rPr>
        <w:t>）。上传时供应商须使用制作该投标（响应）文件的同一</w:t>
      </w:r>
      <w:r>
        <w:rPr>
          <w:rFonts w:hint="default" w:ascii="宋体" w:hAnsi="宋体" w:eastAsia="宋体" w:cs="宋体"/>
          <w:bCs/>
          <w:color w:val="auto"/>
          <w:sz w:val="24"/>
          <w:szCs w:val="24"/>
          <w:lang w:val="en-US" w:eastAsia="zh-CN"/>
        </w:rPr>
        <w:t>CA</w:t>
      </w:r>
      <w:r>
        <w:rPr>
          <w:rFonts w:hint="eastAsia" w:ascii="宋体" w:hAnsi="宋体" w:eastAsia="宋体" w:cs="宋体"/>
          <w:bCs/>
          <w:color w:val="auto"/>
          <w:sz w:val="24"/>
          <w:szCs w:val="24"/>
          <w:lang w:val="en-US" w:eastAsia="zh-CN"/>
        </w:rPr>
        <w:t>锁进行上传操作。请供应商在上传时认真检查上传投标（响应）文件是否完整、正确。供应商应充分考虑上传文件时的不可预见因素，未在响应文件提交截止时间前完成上传的，视为逾期送达，安阳市电子招投标交易平台将拒绝接收。逾期送达的或者未送达指定地点的投标（响应）文件，采购人不予受理。</w:t>
      </w:r>
    </w:p>
    <w:p>
      <w:pPr>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firstLine="482" w:firstLineChars="200"/>
        <w:jc w:val="left"/>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rPr>
        <w:t>五、开启</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1</w:t>
      </w:r>
      <w:r>
        <w:rPr>
          <w:rFonts w:hint="eastAsia" w:ascii="宋体" w:hAnsi="宋体" w:eastAsia="宋体" w:cs="宋体"/>
          <w:bCs/>
          <w:color w:val="auto"/>
          <w:sz w:val="24"/>
          <w:szCs w:val="24"/>
          <w:lang w:val="en-US" w:eastAsia="zh-CN"/>
        </w:rPr>
        <w:t>.</w:t>
      </w:r>
      <w:r>
        <w:rPr>
          <w:rFonts w:hint="eastAsia" w:ascii="宋体" w:hAnsi="宋体" w:eastAsia="宋体" w:cs="宋体"/>
          <w:bCs/>
          <w:color w:val="auto"/>
          <w:sz w:val="24"/>
          <w:szCs w:val="24"/>
          <w:lang w:eastAsia="zh-CN"/>
        </w:rPr>
        <w:t>时间：</w:t>
      </w:r>
      <w:r>
        <w:rPr>
          <w:rFonts w:hint="eastAsia" w:ascii="宋体" w:hAnsi="宋体" w:cs="宋体"/>
          <w:color w:val="auto"/>
          <w:sz w:val="24"/>
          <w:szCs w:val="24"/>
          <w:lang w:eastAsia="zh-CN"/>
        </w:rPr>
        <w:t>2024年06月</w:t>
      </w:r>
      <w:r>
        <w:rPr>
          <w:rFonts w:hint="eastAsia" w:ascii="宋体" w:hAnsi="宋体" w:cs="宋体"/>
          <w:color w:val="auto"/>
          <w:sz w:val="24"/>
          <w:szCs w:val="24"/>
          <w:lang w:val="en-US" w:eastAsia="zh-CN"/>
        </w:rPr>
        <w:t>13日</w:t>
      </w:r>
      <w:r>
        <w:rPr>
          <w:rFonts w:hint="eastAsia" w:ascii="宋体" w:hAnsi="宋体" w:eastAsia="宋体" w:cs="宋体"/>
          <w:bCs/>
          <w:color w:val="auto"/>
          <w:sz w:val="24"/>
          <w:szCs w:val="24"/>
          <w:lang w:val="en-US" w:eastAsia="zh-CN"/>
        </w:rPr>
        <w:t>09</w:t>
      </w:r>
      <w:r>
        <w:rPr>
          <w:rFonts w:hint="eastAsia" w:ascii="宋体" w:hAnsi="宋体" w:eastAsia="宋体" w:cs="宋体"/>
          <w:bCs/>
          <w:color w:val="auto"/>
          <w:sz w:val="24"/>
          <w:szCs w:val="24"/>
          <w:lang w:eastAsia="zh-CN"/>
        </w:rPr>
        <w:t xml:space="preserve">点 00 分（北京时间） </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2</w:t>
      </w:r>
      <w:r>
        <w:rPr>
          <w:rFonts w:hint="eastAsia" w:ascii="宋体" w:hAnsi="宋体" w:eastAsia="宋体" w:cs="宋体"/>
          <w:bCs/>
          <w:color w:val="auto"/>
          <w:sz w:val="24"/>
          <w:szCs w:val="24"/>
          <w:lang w:val="en-US" w:eastAsia="zh-CN"/>
        </w:rPr>
        <w:t>.</w:t>
      </w:r>
      <w:r>
        <w:rPr>
          <w:rFonts w:hint="eastAsia" w:ascii="宋体" w:hAnsi="宋体" w:eastAsia="宋体" w:cs="宋体"/>
          <w:bCs/>
          <w:color w:val="auto"/>
          <w:sz w:val="24"/>
          <w:szCs w:val="24"/>
          <w:lang w:eastAsia="zh-CN"/>
        </w:rPr>
        <w:t>地点：</w:t>
      </w:r>
      <w:r>
        <w:rPr>
          <w:rFonts w:hint="eastAsia" w:ascii="宋体" w:hAnsi="宋体" w:eastAsia="宋体" w:cs="宋体"/>
          <w:bCs/>
          <w:color w:val="auto"/>
          <w:sz w:val="24"/>
          <w:szCs w:val="24"/>
          <w:lang w:val="en-US" w:eastAsia="zh-CN"/>
        </w:rPr>
        <w:t>本项目采用远程不见面交易的模式，开标当日，供应商无需到开标现场参加开标会议，供应商应当在响应文件提交截止时间前，推荐使用</w:t>
      </w:r>
      <w:r>
        <w:rPr>
          <w:rFonts w:hint="default" w:ascii="宋体" w:hAnsi="宋体" w:eastAsia="宋体" w:cs="宋体"/>
          <w:bCs/>
          <w:color w:val="auto"/>
          <w:sz w:val="24"/>
          <w:szCs w:val="24"/>
          <w:lang w:val="en-US" w:eastAsia="zh-CN"/>
        </w:rPr>
        <w:t>IE</w:t>
      </w:r>
      <w:r>
        <w:rPr>
          <w:rFonts w:hint="eastAsia" w:ascii="宋体" w:hAnsi="宋体" w:eastAsia="宋体" w:cs="宋体"/>
          <w:bCs/>
          <w:color w:val="auto"/>
          <w:sz w:val="24"/>
          <w:szCs w:val="24"/>
          <w:lang w:val="en-US" w:eastAsia="zh-CN"/>
        </w:rPr>
        <w:t>浏览器登录到安阳市公共资源交易不见面开标大厅（</w:t>
      </w:r>
      <w:r>
        <w:rPr>
          <w:rFonts w:hint="default" w:ascii="宋体" w:hAnsi="宋体" w:eastAsia="宋体" w:cs="宋体"/>
          <w:bCs/>
          <w:color w:val="auto"/>
          <w:sz w:val="24"/>
          <w:szCs w:val="24"/>
          <w:lang w:val="en-US" w:eastAsia="zh-CN"/>
        </w:rPr>
        <w:t>http://222.139.28.234:2345/BidOpening</w:t>
      </w:r>
      <w:r>
        <w:rPr>
          <w:rFonts w:hint="eastAsia" w:ascii="宋体" w:hAnsi="宋体" w:eastAsia="宋体" w:cs="宋体"/>
          <w:bCs/>
          <w:color w:val="auto"/>
          <w:sz w:val="24"/>
          <w:szCs w:val="24"/>
          <w:lang w:val="en-US" w:eastAsia="zh-CN"/>
        </w:rPr>
        <w:t>），点击右上方【登录】按钮进入，在线准时参加开标活动并进行投标（响应）文件解密等。因供应商原因未能解密、解密失败或解密超时的将被拒绝。</w:t>
      </w:r>
    </w:p>
    <w:p>
      <w:pPr>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firstLine="482" w:firstLineChars="200"/>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六、发布公告的媒介及公告期限</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本次公告同时在《中国招标投标公共服务平台》、《</w:t>
      </w:r>
      <w:r>
        <w:rPr>
          <w:rFonts w:hint="eastAsia" w:ascii="宋体" w:hAnsi="宋体" w:eastAsia="宋体" w:cs="宋体"/>
          <w:bCs/>
          <w:color w:val="auto"/>
          <w:sz w:val="24"/>
          <w:szCs w:val="24"/>
          <w:lang w:val="en-US" w:eastAsia="zh-CN"/>
        </w:rPr>
        <w:t>河南省政府采购网</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lang w:val="en-US" w:eastAsia="zh-CN"/>
        </w:rPr>
        <w:t>和</w:t>
      </w:r>
      <w:r>
        <w:rPr>
          <w:rFonts w:hint="eastAsia" w:ascii="宋体" w:hAnsi="宋体" w:eastAsia="宋体" w:cs="宋体"/>
          <w:bCs/>
          <w:color w:val="auto"/>
          <w:sz w:val="24"/>
          <w:szCs w:val="24"/>
          <w:lang w:eastAsia="zh-CN"/>
        </w:rPr>
        <w:t>《全国公共资源交易平台（河南省·林州市）》上发布。</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自本公告发布之日起</w:t>
      </w:r>
      <w:r>
        <w:rPr>
          <w:rFonts w:hint="eastAsia" w:ascii="宋体" w:hAnsi="宋体" w:cs="宋体"/>
          <w:bCs/>
          <w:color w:val="auto"/>
          <w:sz w:val="24"/>
          <w:szCs w:val="24"/>
          <w:lang w:val="en-US" w:eastAsia="zh-CN"/>
        </w:rPr>
        <w:t>3</w:t>
      </w:r>
      <w:r>
        <w:rPr>
          <w:rFonts w:hint="eastAsia" w:ascii="宋体" w:hAnsi="宋体" w:eastAsia="宋体" w:cs="宋体"/>
          <w:bCs/>
          <w:color w:val="auto"/>
          <w:sz w:val="24"/>
          <w:szCs w:val="24"/>
          <w:lang w:eastAsia="zh-CN"/>
        </w:rPr>
        <w:t>个工作日。</w:t>
      </w:r>
    </w:p>
    <w:p>
      <w:pPr>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firstLine="482" w:firstLineChars="200"/>
        <w:jc w:val="left"/>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七、其他补充事项</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政府采购合同融资</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val="en-US" w:eastAsia="zh-CN"/>
        </w:rPr>
        <w:t>政府采购合同融资：根据豫财购〔2017〕10号和安财购〔2017〕7号文要求，参加政府采购项目的中小微企业供应商，持中标（成交）通知书可向金融机构申请合同融资，详情请登录安阳市政府采购网</w:t>
      </w:r>
      <w:r>
        <w:rPr>
          <w:rFonts w:hint="eastAsia" w:ascii="宋体" w:hAnsi="宋体" w:cs="宋体"/>
          <w:bCs/>
          <w:color w:val="auto"/>
          <w:sz w:val="24"/>
          <w:szCs w:val="24"/>
          <w:lang w:val="en-US" w:eastAsia="zh-CN"/>
        </w:rPr>
        <w:t>（https://anyang.zfcg.henan.gov.cn/）</w:t>
      </w:r>
      <w:r>
        <w:rPr>
          <w:rFonts w:hint="eastAsia" w:ascii="宋体" w:hAnsi="宋体" w:eastAsia="宋体" w:cs="宋体"/>
          <w:bCs/>
          <w:color w:val="auto"/>
          <w:sz w:val="24"/>
          <w:szCs w:val="24"/>
          <w:lang w:val="en-US" w:eastAsia="zh-CN"/>
        </w:rPr>
        <w:t>，进入网站飘窗或业务指南窗口了解金融机构提供的融资服务内容。</w:t>
      </w:r>
    </w:p>
    <w:p>
      <w:pPr>
        <w:keepNext w:val="0"/>
        <w:keepLines w:val="0"/>
        <w:pageBreakBefore w:val="0"/>
        <w:widowControl w:val="0"/>
        <w:kinsoku/>
        <w:wordWrap/>
        <w:overflowPunct/>
        <w:topLinePunct w:val="0"/>
        <w:autoSpaceDE/>
        <w:autoSpaceDN/>
        <w:bidi w:val="0"/>
        <w:adjustRightInd/>
        <w:snapToGrid/>
        <w:spacing w:beforeAutospacing="0" w:after="0" w:afterAutospacing="0" w:line="360" w:lineRule="auto"/>
        <w:ind w:left="0" w:leftChars="0" w:firstLine="482" w:firstLineChars="200"/>
        <w:jc w:val="left"/>
        <w:textAlignment w:val="auto"/>
        <w:outlineLvl w:val="9"/>
        <w:rPr>
          <w:rFonts w:hint="eastAsia" w:ascii="宋体" w:hAnsi="宋体" w:eastAsia="宋体" w:cs="宋体"/>
          <w:b/>
          <w:bCs/>
          <w:color w:val="auto"/>
          <w:sz w:val="24"/>
          <w:szCs w:val="24"/>
        </w:rPr>
      </w:pPr>
      <w:r>
        <w:rPr>
          <w:rFonts w:hint="eastAsia" w:ascii="宋体" w:hAnsi="宋体" w:eastAsia="宋体" w:cs="宋体"/>
          <w:b/>
          <w:bCs/>
          <w:color w:val="auto"/>
          <w:sz w:val="24"/>
          <w:szCs w:val="24"/>
          <w:lang w:val="en-US" w:eastAsia="zh-CN"/>
        </w:rPr>
        <w:t>八</w:t>
      </w:r>
      <w:r>
        <w:rPr>
          <w:rFonts w:hint="eastAsia" w:ascii="宋体" w:hAnsi="宋体" w:eastAsia="宋体" w:cs="宋体"/>
          <w:b/>
          <w:bCs/>
          <w:color w:val="auto"/>
          <w:sz w:val="24"/>
          <w:szCs w:val="24"/>
        </w:rPr>
        <w:t>、</w:t>
      </w:r>
      <w:bookmarkEnd w:id="13"/>
      <w:bookmarkEnd w:id="14"/>
      <w:bookmarkEnd w:id="15"/>
      <w:bookmarkEnd w:id="16"/>
      <w:bookmarkEnd w:id="17"/>
      <w:bookmarkEnd w:id="18"/>
      <w:bookmarkEnd w:id="19"/>
      <w:bookmarkEnd w:id="20"/>
      <w:r>
        <w:rPr>
          <w:rFonts w:hint="eastAsia" w:ascii="宋体" w:hAnsi="宋体" w:eastAsia="宋体" w:cs="宋体"/>
          <w:b/>
          <w:bCs/>
          <w:color w:val="auto"/>
          <w:sz w:val="24"/>
          <w:szCs w:val="24"/>
        </w:rPr>
        <w:t>凡对本次采购提出询问，请按以下方式联系</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bookmarkStart w:id="31" w:name="_Toc28359019"/>
      <w:bookmarkStart w:id="32" w:name="_Toc35393637"/>
      <w:bookmarkStart w:id="33" w:name="_Toc35393806"/>
      <w:bookmarkStart w:id="34" w:name="_Toc28359096"/>
      <w:r>
        <w:rPr>
          <w:rFonts w:hint="eastAsia" w:ascii="宋体" w:hAnsi="宋体" w:eastAsia="宋体" w:cs="宋体"/>
          <w:bCs/>
          <w:color w:val="auto"/>
          <w:sz w:val="24"/>
          <w:szCs w:val="24"/>
          <w:lang w:eastAsia="zh-CN"/>
        </w:rPr>
        <w:t>1.采购人信息</w:t>
      </w:r>
      <w:bookmarkEnd w:id="31"/>
      <w:bookmarkEnd w:id="32"/>
      <w:bookmarkEnd w:id="33"/>
      <w:bookmarkEnd w:id="34"/>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名    称：</w:t>
      </w:r>
      <w:r>
        <w:rPr>
          <w:rFonts w:hint="eastAsia" w:ascii="宋体" w:hAnsi="宋体" w:cs="宋体"/>
          <w:bCs/>
          <w:color w:val="auto"/>
          <w:sz w:val="24"/>
          <w:szCs w:val="24"/>
          <w:lang w:val="en-US" w:eastAsia="zh-CN"/>
        </w:rPr>
        <w:t>林州市开元街道办事处</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统一社会信用代码：</w:t>
      </w:r>
      <w:r>
        <w:rPr>
          <w:rFonts w:hint="eastAsia" w:ascii="宋体" w:hAnsi="宋体" w:cs="宋体"/>
          <w:bCs/>
          <w:color w:val="auto"/>
          <w:sz w:val="24"/>
          <w:szCs w:val="24"/>
          <w:lang w:val="en-US" w:eastAsia="zh-CN"/>
        </w:rPr>
        <w:t>11410581747405380R</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地    址：</w:t>
      </w:r>
      <w:r>
        <w:rPr>
          <w:rFonts w:hint="eastAsia" w:ascii="宋体" w:hAnsi="宋体" w:cs="宋体"/>
          <w:bCs/>
          <w:color w:val="auto"/>
          <w:sz w:val="24"/>
          <w:szCs w:val="24"/>
          <w:lang w:val="en-US" w:eastAsia="zh-CN"/>
        </w:rPr>
        <w:t>林州市城西路146号</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联 系 人：</w:t>
      </w:r>
      <w:r>
        <w:rPr>
          <w:rFonts w:hint="eastAsia" w:ascii="宋体" w:hAnsi="宋体" w:cs="宋体"/>
          <w:bCs/>
          <w:color w:val="auto"/>
          <w:sz w:val="24"/>
          <w:szCs w:val="24"/>
          <w:lang w:val="en-US" w:eastAsia="zh-CN"/>
        </w:rPr>
        <w:t>牛泳昌</w:t>
      </w:r>
      <w:r>
        <w:rPr>
          <w:rFonts w:hint="eastAsia" w:ascii="宋体" w:hAnsi="宋体" w:eastAsia="宋体" w:cs="宋体"/>
          <w:bCs/>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val="en-US" w:eastAsia="zh-CN"/>
        </w:rPr>
        <w:t>联系方式：</w:t>
      </w:r>
      <w:r>
        <w:rPr>
          <w:rFonts w:hint="eastAsia" w:ascii="宋体" w:hAnsi="宋体" w:cs="宋体"/>
          <w:bCs/>
          <w:color w:val="auto"/>
          <w:sz w:val="24"/>
          <w:szCs w:val="24"/>
          <w:lang w:val="en-US" w:eastAsia="zh-CN"/>
        </w:rPr>
        <w:t xml:space="preserve">13513830709 </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bookmarkStart w:id="35" w:name="_Toc35393638"/>
      <w:bookmarkStart w:id="36" w:name="_Toc35393807"/>
      <w:bookmarkStart w:id="37" w:name="_Toc28359020"/>
      <w:bookmarkStart w:id="38" w:name="_Toc28359097"/>
      <w:r>
        <w:rPr>
          <w:rFonts w:hint="eastAsia" w:ascii="宋体" w:hAnsi="宋体" w:eastAsia="宋体" w:cs="宋体"/>
          <w:bCs/>
          <w:color w:val="auto"/>
          <w:sz w:val="24"/>
          <w:szCs w:val="24"/>
          <w:lang w:eastAsia="zh-CN"/>
        </w:rPr>
        <w:t>2.采购代理机构信息</w:t>
      </w:r>
      <w:bookmarkEnd w:id="35"/>
      <w:bookmarkEnd w:id="36"/>
      <w:bookmarkEnd w:id="37"/>
      <w:bookmarkEnd w:id="38"/>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名    称：河南联达工程管理有限公司</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统一社会信用代码：</w:t>
      </w:r>
      <w:r>
        <w:rPr>
          <w:rFonts w:hint="eastAsia" w:ascii="宋体" w:hAnsi="宋体" w:eastAsia="宋体" w:cs="宋体"/>
          <w:bCs/>
          <w:color w:val="auto"/>
          <w:sz w:val="24"/>
          <w:szCs w:val="24"/>
          <w:lang w:val="en-US" w:eastAsia="zh-CN"/>
        </w:rPr>
        <w:t>91410100729617697X</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地　　址：</w:t>
      </w:r>
      <w:r>
        <w:rPr>
          <w:rFonts w:hint="eastAsia" w:ascii="宋体" w:hAnsi="宋体" w:eastAsia="宋体" w:cs="宋体"/>
          <w:bCs/>
          <w:color w:val="auto"/>
          <w:sz w:val="24"/>
          <w:szCs w:val="24"/>
          <w:lang w:val="en-US" w:eastAsia="zh-CN"/>
        </w:rPr>
        <w:t>林州市京林理想城1号楼1单元501</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联 系 人：</w:t>
      </w:r>
      <w:r>
        <w:rPr>
          <w:rFonts w:hint="eastAsia" w:ascii="宋体" w:hAnsi="宋体" w:eastAsia="宋体" w:cs="宋体"/>
          <w:bCs/>
          <w:color w:val="auto"/>
          <w:sz w:val="24"/>
          <w:szCs w:val="24"/>
          <w:lang w:val="en-US" w:eastAsia="zh-CN"/>
        </w:rPr>
        <w:t>李俊涛</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val="en-US" w:eastAsia="zh-CN"/>
        </w:rPr>
      </w:pPr>
      <w:r>
        <w:rPr>
          <w:rFonts w:hint="eastAsia" w:ascii="宋体" w:hAnsi="宋体" w:eastAsia="宋体" w:cs="宋体"/>
          <w:bCs/>
          <w:color w:val="auto"/>
          <w:sz w:val="24"/>
          <w:szCs w:val="24"/>
          <w:lang w:eastAsia="zh-CN"/>
        </w:rPr>
        <w:t>联系方式：</w:t>
      </w:r>
      <w:r>
        <w:rPr>
          <w:rFonts w:hint="eastAsia" w:ascii="宋体" w:hAnsi="宋体" w:eastAsia="宋体" w:cs="宋体"/>
          <w:bCs/>
          <w:color w:val="auto"/>
          <w:sz w:val="24"/>
          <w:szCs w:val="24"/>
          <w:lang w:val="en-US" w:eastAsia="zh-CN"/>
        </w:rPr>
        <w:t>13526110202</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3.项目联系方式</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r>
        <w:rPr>
          <w:rFonts w:hint="eastAsia" w:ascii="宋体" w:hAnsi="宋体" w:eastAsia="宋体" w:cs="宋体"/>
          <w:bCs/>
          <w:color w:val="auto"/>
          <w:sz w:val="24"/>
          <w:szCs w:val="24"/>
          <w:lang w:eastAsia="zh-CN"/>
        </w:rPr>
        <w:t>联</w:t>
      </w:r>
      <w:r>
        <w:rPr>
          <w:rFonts w:hint="eastAsia" w:ascii="宋体" w:hAnsi="宋体" w:eastAsia="宋体" w:cs="宋体"/>
          <w:bCs/>
          <w:color w:val="auto"/>
          <w:sz w:val="24"/>
          <w:szCs w:val="24"/>
          <w:lang w:val="en-US" w:eastAsia="zh-CN"/>
        </w:rPr>
        <w:t xml:space="preserve"> </w:t>
      </w:r>
      <w:r>
        <w:rPr>
          <w:rFonts w:hint="eastAsia" w:ascii="宋体" w:hAnsi="宋体" w:eastAsia="宋体" w:cs="宋体"/>
          <w:bCs/>
          <w:color w:val="auto"/>
          <w:sz w:val="24"/>
          <w:szCs w:val="24"/>
          <w:lang w:eastAsia="zh-CN"/>
        </w:rPr>
        <w:t>系</w:t>
      </w:r>
      <w:r>
        <w:rPr>
          <w:rFonts w:hint="eastAsia" w:ascii="宋体" w:hAnsi="宋体" w:eastAsia="宋体" w:cs="宋体"/>
          <w:bCs/>
          <w:color w:val="auto"/>
          <w:sz w:val="24"/>
          <w:szCs w:val="24"/>
          <w:lang w:val="en-US" w:eastAsia="zh-CN"/>
        </w:rPr>
        <w:t xml:space="preserve"> </w:t>
      </w:r>
      <w:r>
        <w:rPr>
          <w:rFonts w:hint="eastAsia" w:ascii="宋体" w:hAnsi="宋体" w:eastAsia="宋体" w:cs="宋体"/>
          <w:bCs/>
          <w:color w:val="auto"/>
          <w:sz w:val="24"/>
          <w:szCs w:val="24"/>
          <w:lang w:eastAsia="zh-CN"/>
        </w:rPr>
        <w:t>人：</w:t>
      </w:r>
      <w:r>
        <w:rPr>
          <w:rFonts w:hint="eastAsia" w:ascii="宋体" w:hAnsi="宋体" w:cs="宋体"/>
          <w:bCs/>
          <w:color w:val="auto"/>
          <w:sz w:val="24"/>
          <w:szCs w:val="24"/>
          <w:lang w:val="en-US" w:eastAsia="zh-CN"/>
        </w:rPr>
        <w:t>牛泳昌</w:t>
      </w:r>
    </w:p>
    <w:p>
      <w:pPr>
        <w:keepNext w:val="0"/>
        <w:keepLines w:val="0"/>
        <w:pageBreakBefore w:val="0"/>
        <w:widowControl w:val="0"/>
        <w:kinsoku/>
        <w:wordWrap/>
        <w:overflowPunct/>
        <w:topLinePunct w:val="0"/>
        <w:autoSpaceDE/>
        <w:autoSpaceDN/>
        <w:bidi w:val="0"/>
        <w:adjustRightInd/>
        <w:snapToGrid/>
        <w:spacing w:beforeAutospacing="0" w:after="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pPr>
      <w:bookmarkStart w:id="39" w:name="bookmark66"/>
      <w:bookmarkStart w:id="40" w:name="bookmark64"/>
      <w:bookmarkStart w:id="41" w:name="bookmark65"/>
      <w:r>
        <w:rPr>
          <w:rFonts w:hint="eastAsia" w:ascii="宋体" w:hAnsi="宋体" w:eastAsia="宋体" w:cs="宋体"/>
          <w:bCs/>
          <w:color w:val="auto"/>
          <w:sz w:val="24"/>
          <w:szCs w:val="24"/>
          <w:lang w:eastAsia="zh-CN"/>
        </w:rPr>
        <w:t xml:space="preserve">电 </w:t>
      </w:r>
      <w:r>
        <w:rPr>
          <w:rFonts w:hint="eastAsia" w:ascii="宋体" w:hAnsi="宋体" w:eastAsia="宋体" w:cs="宋体"/>
          <w:bCs/>
          <w:color w:val="auto"/>
          <w:sz w:val="24"/>
          <w:szCs w:val="24"/>
          <w:lang w:val="en-US" w:eastAsia="zh-CN"/>
        </w:rPr>
        <w:t xml:space="preserve">   </w:t>
      </w:r>
      <w:r>
        <w:rPr>
          <w:rFonts w:hint="eastAsia" w:ascii="宋体" w:hAnsi="宋体" w:eastAsia="宋体" w:cs="宋体"/>
          <w:bCs/>
          <w:color w:val="auto"/>
          <w:sz w:val="24"/>
          <w:szCs w:val="24"/>
          <w:lang w:eastAsia="zh-CN"/>
        </w:rPr>
        <w:t>话：</w:t>
      </w:r>
      <w:bookmarkEnd w:id="39"/>
      <w:bookmarkEnd w:id="40"/>
      <w:bookmarkEnd w:id="41"/>
      <w:r>
        <w:rPr>
          <w:rFonts w:hint="eastAsia" w:ascii="宋体" w:hAnsi="宋体" w:cs="宋体"/>
          <w:bCs/>
          <w:color w:val="auto"/>
          <w:sz w:val="24"/>
          <w:szCs w:val="24"/>
          <w:lang w:val="en-US" w:eastAsia="zh-CN"/>
        </w:rPr>
        <w:t xml:space="preserve">13513830709 </w:t>
      </w:r>
    </w:p>
    <w:p>
      <w:pPr>
        <w:keepNext w:val="0"/>
        <w:keepLines w:val="0"/>
        <w:pageBreakBefore w:val="0"/>
        <w:widowControl w:val="0"/>
        <w:kinsoku/>
        <w:wordWrap/>
        <w:overflowPunct/>
        <w:topLinePunct w:val="0"/>
        <w:autoSpaceDE/>
        <w:autoSpaceDN/>
        <w:bidi w:val="0"/>
        <w:adjustRightInd/>
        <w:snapToGrid/>
        <w:spacing w:before="80" w:beforeAutospacing="0" w:after="80" w:afterAutospacing="0" w:line="384" w:lineRule="auto"/>
        <w:ind w:left="0" w:leftChars="0" w:firstLine="480" w:firstLineChars="200"/>
        <w:jc w:val="left"/>
        <w:textAlignment w:val="auto"/>
        <w:outlineLvl w:val="9"/>
        <w:rPr>
          <w:rFonts w:hint="eastAsia" w:ascii="宋体" w:hAnsi="宋体" w:eastAsia="宋体" w:cs="宋体"/>
          <w:bCs/>
          <w:color w:val="auto"/>
          <w:sz w:val="24"/>
          <w:szCs w:val="24"/>
          <w:lang w:eastAsia="zh-CN"/>
        </w:rPr>
        <w:sectPr>
          <w:headerReference r:id="rId6" w:type="default"/>
          <w:footerReference r:id="rId7" w:type="default"/>
          <w:pgSz w:w="11906" w:h="16838"/>
          <w:pgMar w:top="1247" w:right="1304" w:bottom="1247" w:left="1304" w:header="680" w:footer="680" w:gutter="0"/>
          <w:pgBorders>
            <w:top w:val="none" w:sz="0" w:space="0"/>
            <w:left w:val="none" w:sz="0" w:space="0"/>
            <w:bottom w:val="none" w:sz="0" w:space="0"/>
            <w:right w:val="none" w:sz="0" w:space="0"/>
          </w:pgBorders>
          <w:pgNumType w:fmt="decimal" w:start="1"/>
          <w:cols w:space="0" w:num="1"/>
          <w:docGrid w:linePitch="312" w:charSpace="0"/>
        </w:sectPr>
      </w:pPr>
    </w:p>
    <w:p>
      <w:pPr>
        <w:pageBreakBefore/>
        <w:widowControl/>
        <w:spacing w:before="156" w:beforeLines="50" w:after="312" w:afterLines="100"/>
        <w:jc w:val="center"/>
        <w:outlineLvl w:val="0"/>
        <w:rPr>
          <w:rFonts w:hint="eastAsia" w:ascii="宋体" w:hAnsi="宋体" w:eastAsia="宋体" w:cs="宋体"/>
          <w:b/>
          <w:bCs/>
          <w:sz w:val="44"/>
          <w:szCs w:val="44"/>
        </w:rPr>
      </w:pPr>
      <w:r>
        <w:rPr>
          <w:rFonts w:hint="eastAsia" w:ascii="宋体" w:hAnsi="宋体" w:eastAsia="宋体" w:cs="宋体"/>
          <w:b/>
          <w:bCs/>
          <w:sz w:val="44"/>
          <w:szCs w:val="44"/>
        </w:rPr>
        <w:t>第二</w:t>
      </w:r>
      <w:bookmarkEnd w:id="9"/>
      <w:bookmarkStart w:id="42" w:name="_Toc470076921"/>
      <w:bookmarkStart w:id="43" w:name="_Toc421694654"/>
      <w:r>
        <w:rPr>
          <w:rFonts w:hint="eastAsia" w:ascii="宋体" w:hAnsi="宋体" w:eastAsia="宋体" w:cs="宋体"/>
          <w:b/>
          <w:bCs/>
          <w:sz w:val="44"/>
          <w:szCs w:val="44"/>
        </w:rPr>
        <w:t>章 投标人须知</w:t>
      </w:r>
      <w:bookmarkEnd w:id="10"/>
      <w:bookmarkEnd w:id="11"/>
      <w:bookmarkEnd w:id="12"/>
      <w:bookmarkEnd w:id="42"/>
      <w:bookmarkEnd w:id="43"/>
    </w:p>
    <w:p>
      <w:pPr>
        <w:spacing w:after="156" w:afterLines="50" w:line="400" w:lineRule="exact"/>
        <w:jc w:val="center"/>
        <w:outlineLvl w:val="9"/>
        <w:rPr>
          <w:rFonts w:hint="eastAsia" w:ascii="宋体" w:hAnsi="宋体" w:eastAsia="宋体" w:cs="宋体"/>
          <w:b/>
          <w:bCs/>
          <w:sz w:val="52"/>
          <w:szCs w:val="52"/>
        </w:rPr>
      </w:pPr>
      <w:bookmarkStart w:id="44" w:name="_Toc470076922"/>
      <w:r>
        <w:rPr>
          <w:rFonts w:hint="eastAsia" w:ascii="宋体" w:hAnsi="宋体" w:eastAsia="宋体" w:cs="宋体"/>
          <w:b/>
          <w:bCs/>
          <w:sz w:val="30"/>
          <w:szCs w:val="30"/>
        </w:rPr>
        <w:t>投标人须知前附表</w:t>
      </w:r>
      <w:bookmarkEnd w:id="44"/>
    </w:p>
    <w:tbl>
      <w:tblPr>
        <w:tblStyle w:val="3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1"/>
        <w:gridCol w:w="2018"/>
        <w:gridCol w:w="6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b/>
                <w:bCs/>
                <w:sz w:val="24"/>
                <w:szCs w:val="24"/>
              </w:rPr>
            </w:pPr>
            <w:bookmarkStart w:id="45" w:name="_Toc436423262"/>
            <w:bookmarkStart w:id="46" w:name="_Toc420509019"/>
            <w:bookmarkStart w:id="47" w:name="_Toc436422918"/>
            <w:bookmarkStart w:id="48" w:name="_Toc370116075"/>
            <w:bookmarkStart w:id="49" w:name="_Toc31106"/>
            <w:bookmarkStart w:id="50" w:name="_Toc11853"/>
            <w:bookmarkStart w:id="51" w:name="_Toc421698760"/>
            <w:bookmarkStart w:id="52" w:name="_Toc380758910"/>
            <w:bookmarkStart w:id="53" w:name="_Toc16783"/>
            <w:bookmarkStart w:id="54" w:name="_Toc396673285"/>
            <w:bookmarkStart w:id="55" w:name="_Toc469902624"/>
            <w:bookmarkStart w:id="56" w:name="_Toc370141169"/>
            <w:bookmarkStart w:id="57" w:name="_Toc470076923"/>
            <w:bookmarkStart w:id="58" w:name="_Toc421694656"/>
            <w:bookmarkStart w:id="59" w:name="_Toc420238747"/>
            <w:bookmarkStart w:id="60" w:name="_Toc370116201"/>
            <w:bookmarkStart w:id="61" w:name="_Toc354"/>
            <w:r>
              <w:rPr>
                <w:rFonts w:hint="eastAsia" w:ascii="宋体" w:hAnsi="宋体" w:eastAsia="宋体" w:cs="宋体"/>
                <w:b/>
                <w:bCs/>
                <w:sz w:val="24"/>
                <w:szCs w:val="24"/>
              </w:rPr>
              <w:t>序号</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tc>
        <w:tc>
          <w:tcPr>
            <w:tcW w:w="106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b/>
                <w:bCs/>
                <w:sz w:val="24"/>
                <w:szCs w:val="24"/>
              </w:rPr>
            </w:pPr>
            <w:bookmarkStart w:id="62" w:name="_Toc370116076"/>
            <w:bookmarkStart w:id="63" w:name="_Toc396673286"/>
            <w:bookmarkStart w:id="64" w:name="_Toc420238748"/>
            <w:bookmarkStart w:id="65" w:name="_Toc436423263"/>
            <w:bookmarkStart w:id="66" w:name="_Toc370141170"/>
            <w:bookmarkStart w:id="67" w:name="_Toc24031"/>
            <w:bookmarkStart w:id="68" w:name="_Toc420509020"/>
            <w:bookmarkStart w:id="69" w:name="_Toc421698761"/>
            <w:bookmarkStart w:id="70" w:name="_Toc470076924"/>
            <w:bookmarkStart w:id="71" w:name="_Toc20234"/>
            <w:bookmarkStart w:id="72" w:name="_Toc469902625"/>
            <w:bookmarkStart w:id="73" w:name="_Toc25435"/>
            <w:bookmarkStart w:id="74" w:name="_Toc421694657"/>
            <w:bookmarkStart w:id="75" w:name="_Toc1047"/>
            <w:bookmarkStart w:id="76" w:name="_Toc370116202"/>
            <w:bookmarkStart w:id="77" w:name="_Toc436422919"/>
            <w:bookmarkStart w:id="78" w:name="_Toc380758911"/>
            <w:r>
              <w:rPr>
                <w:rFonts w:hint="eastAsia" w:ascii="宋体" w:hAnsi="宋体" w:eastAsia="宋体" w:cs="宋体"/>
                <w:b/>
                <w:bCs/>
                <w:sz w:val="24"/>
                <w:szCs w:val="24"/>
              </w:rPr>
              <w:t>名    称</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tc>
        <w:tc>
          <w:tcPr>
            <w:tcW w:w="3517"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b/>
                <w:bCs/>
                <w:sz w:val="24"/>
                <w:szCs w:val="24"/>
              </w:rPr>
            </w:pPr>
            <w:bookmarkStart w:id="79" w:name="_Toc420238749"/>
            <w:bookmarkStart w:id="80" w:name="_Toc470076925"/>
            <w:bookmarkStart w:id="81" w:name="_Toc19353"/>
            <w:bookmarkStart w:id="82" w:name="_Toc380758912"/>
            <w:bookmarkStart w:id="83" w:name="_Toc469902626"/>
            <w:bookmarkStart w:id="84" w:name="_Toc29060"/>
            <w:bookmarkStart w:id="85" w:name="_Toc421694658"/>
            <w:bookmarkStart w:id="86" w:name="_Toc8320"/>
            <w:bookmarkStart w:id="87" w:name="_Toc370116077"/>
            <w:bookmarkStart w:id="88" w:name="_Toc370141171"/>
            <w:bookmarkStart w:id="89" w:name="_Toc421698762"/>
            <w:bookmarkStart w:id="90" w:name="_Toc23835"/>
            <w:bookmarkStart w:id="91" w:name="_Toc370116203"/>
            <w:bookmarkStart w:id="92" w:name="_Toc436423264"/>
            <w:bookmarkStart w:id="93" w:name="_Toc396673287"/>
            <w:bookmarkStart w:id="94" w:name="_Toc436422920"/>
            <w:bookmarkStart w:id="95" w:name="_Toc420509021"/>
            <w:r>
              <w:rPr>
                <w:rFonts w:hint="eastAsia" w:ascii="宋体" w:hAnsi="宋体" w:eastAsia="宋体" w:cs="宋体"/>
                <w:b/>
                <w:bCs/>
                <w:sz w:val="24"/>
                <w:szCs w:val="24"/>
              </w:rPr>
              <w:t>内      容</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96" w:name="_Toc436422921"/>
            <w:bookmarkStart w:id="97" w:name="_Toc396673288"/>
            <w:bookmarkStart w:id="98" w:name="_Toc421694659"/>
            <w:bookmarkStart w:id="99" w:name="_Toc26907"/>
            <w:bookmarkStart w:id="100" w:name="_Toc1858"/>
            <w:bookmarkStart w:id="101" w:name="_Toc469902627"/>
            <w:bookmarkStart w:id="102" w:name="_Toc421698763"/>
            <w:bookmarkStart w:id="103" w:name="_Toc380758913"/>
            <w:bookmarkStart w:id="104" w:name="_Toc370116204"/>
            <w:bookmarkStart w:id="105" w:name="_Toc420509022"/>
            <w:bookmarkStart w:id="106" w:name="_Toc370141172"/>
            <w:bookmarkStart w:id="107" w:name="_Toc22825"/>
            <w:bookmarkStart w:id="108" w:name="_Toc420238750"/>
            <w:bookmarkStart w:id="109" w:name="_Toc470076926"/>
            <w:bookmarkStart w:id="110" w:name="_Toc436423265"/>
            <w:bookmarkStart w:id="111" w:name="_Toc28185"/>
            <w:bookmarkStart w:id="112" w:name="_Toc370116078"/>
            <w:r>
              <w:rPr>
                <w:rFonts w:hint="eastAsia" w:ascii="宋体" w:hAnsi="宋体" w:eastAsia="宋体" w:cs="宋体"/>
                <w:sz w:val="24"/>
                <w:szCs w:val="24"/>
              </w:rPr>
              <w:t>1</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tc>
        <w:tc>
          <w:tcPr>
            <w:tcW w:w="106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color w:val="000000"/>
                <w:sz w:val="24"/>
                <w:szCs w:val="24"/>
              </w:rPr>
            </w:pPr>
            <w:bookmarkStart w:id="113" w:name="_Toc436422922"/>
            <w:bookmarkStart w:id="114" w:name="_Toc5623"/>
            <w:bookmarkStart w:id="115" w:name="_Toc470076927"/>
            <w:bookmarkStart w:id="116" w:name="_Toc469902628"/>
            <w:bookmarkStart w:id="117" w:name="_Toc421698764"/>
            <w:bookmarkStart w:id="118" w:name="_Toc370116079"/>
            <w:bookmarkStart w:id="119" w:name="_Toc420509023"/>
            <w:bookmarkStart w:id="120" w:name="_Toc4108"/>
            <w:bookmarkStart w:id="121" w:name="_Toc420238751"/>
            <w:bookmarkStart w:id="122" w:name="_Toc11138"/>
            <w:bookmarkStart w:id="123" w:name="_Toc380758914"/>
            <w:bookmarkStart w:id="124" w:name="_Toc421694660"/>
            <w:bookmarkStart w:id="125" w:name="_Toc370141173"/>
            <w:bookmarkStart w:id="126" w:name="_Toc370116205"/>
            <w:bookmarkStart w:id="127" w:name="_Toc436423266"/>
            <w:bookmarkStart w:id="128" w:name="_Toc15342"/>
            <w:bookmarkStart w:id="129" w:name="_Toc396673289"/>
            <w:r>
              <w:rPr>
                <w:rFonts w:hint="eastAsia" w:ascii="宋体" w:hAnsi="宋体" w:eastAsia="宋体" w:cs="宋体"/>
                <w:color w:val="000000"/>
                <w:sz w:val="24"/>
                <w:szCs w:val="24"/>
              </w:rPr>
              <w:t>项目名称</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eastAsia="zh-CN"/>
              </w:rPr>
            </w:pPr>
            <w:r>
              <w:rPr>
                <w:rFonts w:hint="eastAsia" w:ascii="宋体" w:hAnsi="宋体" w:cs="宋体"/>
                <w:sz w:val="24"/>
                <w:szCs w:val="24"/>
                <w:lang w:eastAsia="zh-CN"/>
              </w:rPr>
              <w:t>林州市开元街道办事处2024年林州市开元街道田西峪村村组道路项目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130" w:name="_Toc396673291"/>
            <w:bookmarkStart w:id="131" w:name="_Toc470076929"/>
            <w:bookmarkStart w:id="132" w:name="_Toc5275"/>
            <w:bookmarkStart w:id="133" w:name="_Toc436422924"/>
            <w:bookmarkStart w:id="134" w:name="_Toc380758916"/>
            <w:bookmarkStart w:id="135" w:name="_Toc421698766"/>
            <w:bookmarkStart w:id="136" w:name="_Toc25388"/>
            <w:bookmarkStart w:id="137" w:name="_Toc420509025"/>
            <w:bookmarkStart w:id="138" w:name="_Toc25532"/>
            <w:bookmarkStart w:id="139" w:name="_Toc436423268"/>
            <w:bookmarkStart w:id="140" w:name="_Toc420238753"/>
            <w:bookmarkStart w:id="141" w:name="_Toc469902630"/>
            <w:bookmarkStart w:id="142" w:name="_Toc370116081"/>
            <w:bookmarkStart w:id="143" w:name="_Toc370116207"/>
            <w:bookmarkStart w:id="144" w:name="_Toc370141175"/>
            <w:bookmarkStart w:id="145" w:name="_Toc30045"/>
            <w:r>
              <w:rPr>
                <w:rFonts w:hint="eastAsia" w:ascii="宋体" w:hAnsi="宋体" w:eastAsia="宋体" w:cs="宋体"/>
                <w:sz w:val="24"/>
                <w:szCs w:val="24"/>
              </w:rPr>
              <w:t>2</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tc>
        <w:tc>
          <w:tcPr>
            <w:tcW w:w="106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color w:val="000000"/>
                <w:sz w:val="24"/>
                <w:szCs w:val="24"/>
              </w:rPr>
            </w:pPr>
            <w:bookmarkStart w:id="146" w:name="_Toc31110"/>
            <w:bookmarkStart w:id="147" w:name="_Toc28014"/>
            <w:bookmarkStart w:id="148" w:name="_Toc4016"/>
            <w:bookmarkStart w:id="149" w:name="_Toc16833"/>
            <w:r>
              <w:rPr>
                <w:rFonts w:hint="eastAsia" w:ascii="宋体" w:hAnsi="宋体" w:eastAsia="宋体" w:cs="宋体"/>
                <w:color w:val="000000"/>
                <w:sz w:val="24"/>
                <w:szCs w:val="24"/>
              </w:rPr>
              <w:t>采购人</w:t>
            </w:r>
            <w:bookmarkEnd w:id="146"/>
            <w:bookmarkEnd w:id="147"/>
            <w:bookmarkEnd w:id="148"/>
            <w:bookmarkEnd w:id="149"/>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val="en-US" w:eastAsia="zh-CN"/>
              </w:rPr>
            </w:pPr>
            <w:r>
              <w:rPr>
                <w:rFonts w:hint="eastAsia" w:ascii="宋体" w:hAnsi="宋体" w:cs="宋体"/>
                <w:sz w:val="24"/>
                <w:szCs w:val="24"/>
                <w:lang w:eastAsia="zh-CN"/>
              </w:rPr>
              <w:t>林州市开元街道办事处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150" w:name="_Toc470076932"/>
            <w:bookmarkStart w:id="151" w:name="_Toc380758919"/>
            <w:bookmarkStart w:id="152" w:name="_Toc370141178"/>
            <w:bookmarkStart w:id="153" w:name="_Toc436422927"/>
            <w:bookmarkStart w:id="154" w:name="_Toc370116210"/>
            <w:bookmarkStart w:id="155" w:name="_Toc20168"/>
            <w:bookmarkStart w:id="156" w:name="_Toc421698769"/>
            <w:bookmarkStart w:id="157" w:name="_Toc469902632"/>
            <w:bookmarkStart w:id="158" w:name="_Toc825"/>
            <w:bookmarkStart w:id="159" w:name="_Toc396673294"/>
            <w:bookmarkStart w:id="160" w:name="_Toc31579"/>
            <w:bookmarkStart w:id="161" w:name="_Toc7570"/>
            <w:bookmarkStart w:id="162" w:name="_Toc420509028"/>
            <w:bookmarkStart w:id="163" w:name="_Toc436423271"/>
            <w:bookmarkStart w:id="164" w:name="_Toc420238756"/>
            <w:bookmarkStart w:id="165" w:name="_Toc370116084"/>
            <w:r>
              <w:rPr>
                <w:rFonts w:hint="eastAsia" w:ascii="宋体" w:hAnsi="宋体" w:eastAsia="宋体" w:cs="宋体"/>
                <w:sz w:val="24"/>
                <w:szCs w:val="24"/>
              </w:rPr>
              <w:t>3</w:t>
            </w:r>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p>
        </w:tc>
        <w:tc>
          <w:tcPr>
            <w:tcW w:w="106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color w:val="000000"/>
                <w:sz w:val="24"/>
                <w:szCs w:val="24"/>
              </w:rPr>
            </w:pPr>
            <w:bookmarkStart w:id="166" w:name="_Toc25767"/>
            <w:bookmarkStart w:id="167" w:name="_Toc31821"/>
            <w:bookmarkStart w:id="168" w:name="_Toc24244"/>
            <w:bookmarkStart w:id="169" w:name="_Toc23777"/>
            <w:r>
              <w:rPr>
                <w:rFonts w:hint="eastAsia" w:ascii="宋体" w:hAnsi="宋体" w:eastAsia="宋体" w:cs="宋体"/>
                <w:color w:val="000000"/>
                <w:sz w:val="24"/>
                <w:szCs w:val="24"/>
              </w:rPr>
              <w:t>代理机构</w:t>
            </w:r>
            <w:bookmarkEnd w:id="166"/>
            <w:bookmarkEnd w:id="167"/>
            <w:bookmarkEnd w:id="168"/>
            <w:bookmarkEnd w:id="169"/>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eastAsia="zh-CN"/>
              </w:rPr>
              <w:t>河南联达工程管理有限公司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170" w:name="_Toc469902635"/>
            <w:bookmarkStart w:id="171" w:name="_Toc9165"/>
            <w:bookmarkStart w:id="172" w:name="_Toc18718"/>
            <w:bookmarkStart w:id="173" w:name="_Toc436423274"/>
            <w:bookmarkStart w:id="174" w:name="_Toc436422930"/>
            <w:bookmarkStart w:id="175" w:name="_Toc396673297"/>
            <w:bookmarkStart w:id="176" w:name="_Toc380758922"/>
            <w:bookmarkStart w:id="177" w:name="_Toc421698772"/>
            <w:bookmarkStart w:id="178" w:name="_Toc420509031"/>
            <w:bookmarkStart w:id="179" w:name="_Toc20279"/>
            <w:bookmarkStart w:id="180" w:name="_Toc470076935"/>
            <w:bookmarkStart w:id="181" w:name="_Toc420238759"/>
            <w:bookmarkStart w:id="182" w:name="_Toc25193"/>
            <w:r>
              <w:rPr>
                <w:rFonts w:hint="eastAsia" w:ascii="宋体" w:hAnsi="宋体" w:eastAsia="宋体" w:cs="宋体"/>
                <w:sz w:val="24"/>
                <w:szCs w:val="24"/>
              </w:rPr>
              <w:t>4</w:t>
            </w:r>
            <w:bookmarkEnd w:id="170"/>
            <w:bookmarkEnd w:id="171"/>
            <w:bookmarkEnd w:id="172"/>
            <w:bookmarkEnd w:id="173"/>
            <w:bookmarkEnd w:id="174"/>
            <w:bookmarkEnd w:id="175"/>
            <w:bookmarkEnd w:id="176"/>
            <w:bookmarkEnd w:id="177"/>
            <w:bookmarkEnd w:id="178"/>
            <w:bookmarkEnd w:id="179"/>
            <w:bookmarkEnd w:id="180"/>
            <w:bookmarkEnd w:id="181"/>
            <w:bookmarkEnd w:id="182"/>
          </w:p>
        </w:tc>
        <w:tc>
          <w:tcPr>
            <w:tcW w:w="106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183" w:name="_Toc16722"/>
            <w:bookmarkStart w:id="184" w:name="_Toc370141185"/>
            <w:bookmarkStart w:id="185" w:name="_Toc380758923"/>
            <w:bookmarkStart w:id="186" w:name="_Toc21802"/>
            <w:bookmarkStart w:id="187" w:name="_Toc420509032"/>
            <w:bookmarkStart w:id="188" w:name="_Toc370116091"/>
            <w:bookmarkStart w:id="189" w:name="_Toc370116217"/>
            <w:bookmarkStart w:id="190" w:name="_Toc15644"/>
            <w:bookmarkStart w:id="191" w:name="_Toc421698773"/>
            <w:bookmarkStart w:id="192" w:name="_Toc396673298"/>
            <w:bookmarkStart w:id="193" w:name="_Toc469902636"/>
            <w:bookmarkStart w:id="194" w:name="_Toc10495"/>
            <w:bookmarkStart w:id="195" w:name="_Toc436423275"/>
            <w:bookmarkStart w:id="196" w:name="_Toc470076936"/>
            <w:bookmarkStart w:id="197" w:name="_Toc436422931"/>
            <w:bookmarkStart w:id="198" w:name="_Toc420238760"/>
            <w:r>
              <w:rPr>
                <w:rFonts w:hint="eastAsia" w:ascii="宋体" w:hAnsi="宋体" w:eastAsia="宋体" w:cs="宋体"/>
                <w:sz w:val="24"/>
                <w:szCs w:val="24"/>
              </w:rPr>
              <w:t>资金来源</w:t>
            </w:r>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eastAsia="zh-CN"/>
              </w:rPr>
            </w:pPr>
            <w:r>
              <w:rPr>
                <w:rFonts w:hint="eastAsia" w:ascii="宋体" w:hAnsi="宋体" w:cs="宋体"/>
                <w:kern w:val="0"/>
                <w:sz w:val="24"/>
                <w:szCs w:val="24"/>
                <w:lang w:eastAsia="zh-CN"/>
              </w:rPr>
              <w:t>财政资金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199" w:name="_Toc421698775"/>
            <w:bookmarkStart w:id="200" w:name="_Toc8977"/>
            <w:bookmarkStart w:id="201" w:name="_Toc396673300"/>
            <w:bookmarkStart w:id="202" w:name="_Toc469902638"/>
            <w:bookmarkStart w:id="203" w:name="_Toc18876"/>
            <w:bookmarkStart w:id="204" w:name="_Toc420509034"/>
            <w:bookmarkStart w:id="205" w:name="_Toc2074"/>
            <w:bookmarkStart w:id="206" w:name="_Toc380758925"/>
            <w:bookmarkStart w:id="207" w:name="_Toc420238762"/>
            <w:bookmarkStart w:id="208" w:name="_Toc18398"/>
            <w:bookmarkStart w:id="209" w:name="_Toc436423277"/>
            <w:bookmarkStart w:id="210" w:name="_Toc470076938"/>
            <w:bookmarkStart w:id="211" w:name="_Toc436422933"/>
            <w:r>
              <w:rPr>
                <w:rFonts w:hint="eastAsia" w:ascii="宋体" w:hAnsi="宋体" w:eastAsia="宋体" w:cs="宋体"/>
                <w:sz w:val="24"/>
                <w:szCs w:val="24"/>
              </w:rPr>
              <w:t>5</w:t>
            </w:r>
            <w:bookmarkEnd w:id="199"/>
            <w:bookmarkEnd w:id="200"/>
            <w:bookmarkEnd w:id="201"/>
            <w:bookmarkEnd w:id="202"/>
            <w:bookmarkEnd w:id="203"/>
            <w:bookmarkEnd w:id="204"/>
            <w:bookmarkEnd w:id="205"/>
            <w:bookmarkEnd w:id="206"/>
            <w:bookmarkEnd w:id="207"/>
            <w:bookmarkEnd w:id="208"/>
            <w:bookmarkEnd w:id="209"/>
            <w:bookmarkEnd w:id="210"/>
            <w:bookmarkEnd w:id="211"/>
          </w:p>
        </w:tc>
        <w:tc>
          <w:tcPr>
            <w:tcW w:w="106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12" w:name="_Toc21176"/>
            <w:bookmarkStart w:id="213" w:name="_Toc13095"/>
            <w:bookmarkStart w:id="214" w:name="_Toc29243"/>
            <w:bookmarkStart w:id="215" w:name="_Toc25001"/>
            <w:r>
              <w:rPr>
                <w:rFonts w:hint="eastAsia" w:ascii="宋体" w:hAnsi="宋体" w:eastAsia="宋体" w:cs="宋体"/>
                <w:sz w:val="24"/>
                <w:szCs w:val="24"/>
              </w:rPr>
              <w:t>采购范围</w:t>
            </w:r>
            <w:bookmarkEnd w:id="212"/>
            <w:bookmarkEnd w:id="213"/>
            <w:bookmarkEnd w:id="214"/>
            <w:bookmarkEnd w:id="215"/>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eastAsia="zh-CN"/>
              </w:rPr>
            </w:pPr>
            <w:r>
              <w:rPr>
                <w:rFonts w:hint="eastAsia" w:ascii="宋体" w:hAnsi="宋体" w:cs="宋体"/>
                <w:kern w:val="0"/>
                <w:sz w:val="24"/>
                <w:szCs w:val="24"/>
                <w:lang w:eastAsia="zh-CN"/>
              </w:rPr>
              <w:t>工程量清单范围内的所有内容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16" w:name="_Toc396673303"/>
            <w:bookmarkStart w:id="217" w:name="_Toc470076941"/>
            <w:bookmarkStart w:id="218" w:name="_Toc436422936"/>
            <w:bookmarkStart w:id="219" w:name="_Toc30581"/>
            <w:bookmarkStart w:id="220" w:name="_Toc380758928"/>
            <w:bookmarkStart w:id="221" w:name="_Toc23422"/>
            <w:bookmarkStart w:id="222" w:name="_Toc421698778"/>
            <w:bookmarkStart w:id="223" w:name="_Toc29094"/>
            <w:bookmarkStart w:id="224" w:name="_Toc420238765"/>
            <w:bookmarkStart w:id="225" w:name="_Toc420509037"/>
            <w:bookmarkStart w:id="226" w:name="_Toc24588"/>
            <w:bookmarkStart w:id="227" w:name="_Toc436423280"/>
            <w:bookmarkStart w:id="228" w:name="_Toc469902641"/>
            <w:r>
              <w:rPr>
                <w:rFonts w:hint="eastAsia" w:ascii="宋体" w:hAnsi="宋体" w:eastAsia="宋体" w:cs="宋体"/>
                <w:sz w:val="24"/>
                <w:szCs w:val="24"/>
              </w:rPr>
              <w:t>6</w:t>
            </w:r>
            <w:bookmarkEnd w:id="216"/>
            <w:bookmarkEnd w:id="217"/>
            <w:bookmarkEnd w:id="218"/>
            <w:bookmarkEnd w:id="219"/>
            <w:bookmarkEnd w:id="220"/>
            <w:bookmarkEnd w:id="221"/>
            <w:bookmarkEnd w:id="222"/>
            <w:bookmarkEnd w:id="223"/>
            <w:bookmarkEnd w:id="224"/>
            <w:bookmarkEnd w:id="225"/>
            <w:bookmarkEnd w:id="226"/>
            <w:bookmarkEnd w:id="227"/>
            <w:bookmarkEnd w:id="228"/>
          </w:p>
        </w:tc>
        <w:tc>
          <w:tcPr>
            <w:tcW w:w="106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29" w:name="_Toc13019"/>
            <w:bookmarkStart w:id="230" w:name="_Toc9553"/>
            <w:bookmarkStart w:id="231" w:name="_Toc12017"/>
            <w:bookmarkStart w:id="232" w:name="_Toc10196"/>
            <w:r>
              <w:rPr>
                <w:rFonts w:hint="eastAsia" w:ascii="宋体" w:hAnsi="宋体" w:eastAsia="宋体" w:cs="宋体"/>
                <w:sz w:val="24"/>
                <w:szCs w:val="24"/>
              </w:rPr>
              <w:t>工期</w:t>
            </w:r>
            <w:bookmarkEnd w:id="229"/>
            <w:bookmarkEnd w:id="230"/>
            <w:bookmarkEnd w:id="231"/>
            <w:bookmarkEnd w:id="232"/>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eastAsia="zh-CN"/>
              </w:rPr>
            </w:pPr>
            <w:r>
              <w:rPr>
                <w:rFonts w:hint="eastAsia" w:ascii="宋体" w:hAnsi="宋体" w:cs="宋体"/>
                <w:sz w:val="24"/>
                <w:szCs w:val="24"/>
                <w:lang w:val="en-US" w:eastAsia="zh-CN"/>
              </w:rPr>
              <w:t>45日历天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33" w:name="_Toc470076944"/>
            <w:bookmarkStart w:id="234" w:name="_Toc436423283"/>
            <w:bookmarkStart w:id="235" w:name="_Toc469902644"/>
            <w:bookmarkStart w:id="236" w:name="_Toc13962"/>
            <w:bookmarkStart w:id="237" w:name="_Toc13409"/>
            <w:bookmarkStart w:id="238" w:name="_Toc17336"/>
            <w:bookmarkStart w:id="239" w:name="_Toc436422939"/>
            <w:bookmarkStart w:id="240" w:name="_Toc12052"/>
            <w:r>
              <w:rPr>
                <w:rFonts w:hint="eastAsia" w:ascii="宋体" w:hAnsi="宋体" w:eastAsia="宋体" w:cs="宋体"/>
                <w:sz w:val="24"/>
                <w:szCs w:val="24"/>
              </w:rPr>
              <w:t>7</w:t>
            </w:r>
            <w:bookmarkEnd w:id="233"/>
            <w:bookmarkEnd w:id="234"/>
            <w:bookmarkEnd w:id="235"/>
            <w:bookmarkEnd w:id="236"/>
            <w:bookmarkEnd w:id="237"/>
            <w:bookmarkEnd w:id="238"/>
            <w:bookmarkEnd w:id="239"/>
            <w:bookmarkEnd w:id="240"/>
          </w:p>
        </w:tc>
        <w:tc>
          <w:tcPr>
            <w:tcW w:w="106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41" w:name="_Toc15358"/>
            <w:bookmarkStart w:id="242" w:name="_Toc470076945"/>
            <w:bookmarkStart w:id="243" w:name="_Toc13606"/>
            <w:bookmarkStart w:id="244" w:name="_Toc436422940"/>
            <w:bookmarkStart w:id="245" w:name="_Toc2965"/>
            <w:bookmarkStart w:id="246" w:name="_Toc436423284"/>
            <w:bookmarkStart w:id="247" w:name="_Toc469902645"/>
            <w:bookmarkStart w:id="248" w:name="_Toc16425"/>
            <w:r>
              <w:rPr>
                <w:rFonts w:hint="eastAsia" w:ascii="宋体" w:hAnsi="宋体" w:eastAsia="宋体" w:cs="宋体"/>
                <w:sz w:val="24"/>
                <w:szCs w:val="24"/>
              </w:rPr>
              <w:t>质量</w:t>
            </w:r>
            <w:bookmarkEnd w:id="241"/>
            <w:bookmarkEnd w:id="242"/>
            <w:bookmarkEnd w:id="243"/>
            <w:bookmarkEnd w:id="244"/>
            <w:bookmarkEnd w:id="245"/>
            <w:bookmarkEnd w:id="246"/>
            <w:bookmarkEnd w:id="247"/>
            <w:bookmarkEnd w:id="248"/>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rPr>
            </w:pPr>
            <w:r>
              <w:rPr>
                <w:rFonts w:hint="eastAsia" w:ascii="宋体" w:hAnsi="宋体" w:eastAsia="宋体" w:cs="宋体"/>
                <w:sz w:val="24"/>
                <w:szCs w:val="24"/>
              </w:rPr>
              <w:t>合格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49" w:name="_Toc3658"/>
            <w:bookmarkStart w:id="250" w:name="_Toc4249"/>
            <w:bookmarkStart w:id="251" w:name="_Toc2585"/>
            <w:bookmarkStart w:id="252" w:name="_Toc13931"/>
            <w:r>
              <w:rPr>
                <w:rFonts w:hint="eastAsia" w:ascii="宋体" w:hAnsi="宋体" w:eastAsia="宋体" w:cs="宋体"/>
                <w:sz w:val="24"/>
                <w:szCs w:val="24"/>
              </w:rPr>
              <w:t>8</w:t>
            </w:r>
            <w:bookmarkEnd w:id="249"/>
            <w:bookmarkEnd w:id="250"/>
            <w:bookmarkEnd w:id="251"/>
            <w:bookmarkEnd w:id="252"/>
          </w:p>
        </w:tc>
        <w:tc>
          <w:tcPr>
            <w:tcW w:w="106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53" w:name="_Toc17501"/>
            <w:bookmarkStart w:id="254" w:name="_Toc21010"/>
            <w:bookmarkStart w:id="255" w:name="_Toc5487"/>
            <w:bookmarkStart w:id="256" w:name="_Toc1138"/>
            <w:r>
              <w:rPr>
                <w:rFonts w:hint="eastAsia" w:ascii="宋体" w:hAnsi="宋体" w:eastAsia="宋体" w:cs="宋体"/>
                <w:sz w:val="24"/>
                <w:szCs w:val="24"/>
              </w:rPr>
              <w:t>投标人</w:t>
            </w:r>
            <w:bookmarkEnd w:id="253"/>
            <w:bookmarkEnd w:id="254"/>
            <w:bookmarkEnd w:id="255"/>
            <w:bookmarkEnd w:id="256"/>
          </w:p>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57" w:name="_Toc8561"/>
            <w:bookmarkStart w:id="258" w:name="_Toc28171"/>
            <w:bookmarkStart w:id="259" w:name="_Toc14926"/>
            <w:bookmarkStart w:id="260" w:name="_Toc24814"/>
            <w:r>
              <w:rPr>
                <w:rFonts w:hint="eastAsia" w:ascii="宋体" w:hAnsi="宋体" w:eastAsia="宋体" w:cs="宋体"/>
                <w:sz w:val="24"/>
                <w:szCs w:val="24"/>
              </w:rPr>
              <w:t>资格要求</w:t>
            </w:r>
            <w:bookmarkEnd w:id="257"/>
            <w:bookmarkEnd w:id="258"/>
            <w:bookmarkEnd w:id="259"/>
            <w:bookmarkEnd w:id="260"/>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1.满足《中华人民共和国政府采购法》第二十二条规定； </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 xml:space="preserve">2.落实政府采购政策满足的资格要求：强制节能产品强制采购、节能产品、环境标志产品及贫困地区产品优先采购、促进中小企业发展扶持政策、进口产品政策、信息安全产品、社会信用体系建设、促进残疾人就业、支持监狱企业发展等。 </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3.本项目的特定资格要求：</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3.1 符合《中华人民共和国政府采购法》第二十二条规定，并提供下列材料：</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（一）具有独立承担民事责任的能力，具有有效的营业执照；</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（二）具有良好的商业信誉和健全的财务会计制度（提供近三年内任意一年的财务审计报告，企业成立不足一年的须提供从成立月份起的财务证明资料）；</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（三）具有履行合同所必需的设备和专业技术能力（承诺具有履行合同所必需的设备和专业技术能力）；</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（四）</w:t>
            </w:r>
            <w:r>
              <w:rPr>
                <w:rFonts w:hint="eastAsia" w:ascii="宋体" w:hAnsi="宋体" w:eastAsia="宋体" w:cs="宋体"/>
                <w:sz w:val="24"/>
                <w:szCs w:val="24"/>
                <w:lang w:val="en-US" w:eastAsia="zh-CN"/>
              </w:rPr>
              <w:t>具</w:t>
            </w:r>
            <w:r>
              <w:rPr>
                <w:rFonts w:hint="eastAsia" w:ascii="宋体" w:hAnsi="宋体" w:eastAsia="宋体" w:cs="宋体"/>
                <w:sz w:val="24"/>
                <w:szCs w:val="24"/>
                <w:lang w:eastAsia="zh-CN"/>
              </w:rPr>
              <w:t>有依法缴纳税收和社会保障资金的良好记录（依法缴纳税收提供</w:t>
            </w:r>
            <w:r>
              <w:rPr>
                <w:rFonts w:hint="eastAsia" w:ascii="宋体" w:hAnsi="宋体" w:eastAsia="宋体" w:cs="宋体"/>
                <w:sz w:val="24"/>
                <w:szCs w:val="24"/>
                <w:lang w:val="en-US" w:eastAsia="zh-CN"/>
              </w:rPr>
              <w:t>2024年1月份以来</w:t>
            </w:r>
            <w:r>
              <w:rPr>
                <w:rFonts w:hint="eastAsia" w:ascii="宋体" w:hAnsi="宋体" w:eastAsia="宋体" w:cs="宋体"/>
                <w:sz w:val="24"/>
                <w:szCs w:val="24"/>
                <w:lang w:eastAsia="zh-CN"/>
              </w:rPr>
              <w:t>任意1个月缴纳税收凭据，依法免税的，应提供相应文件证明；依法缴纳社会保障资金提供</w:t>
            </w:r>
            <w:r>
              <w:rPr>
                <w:rFonts w:hint="eastAsia" w:ascii="宋体" w:hAnsi="宋体" w:eastAsia="宋体" w:cs="宋体"/>
                <w:sz w:val="24"/>
                <w:szCs w:val="24"/>
                <w:lang w:val="en-US" w:eastAsia="zh-CN"/>
              </w:rPr>
              <w:t>2024年1月份以来</w:t>
            </w:r>
            <w:r>
              <w:rPr>
                <w:rFonts w:hint="eastAsia" w:ascii="宋体" w:hAnsi="宋体" w:eastAsia="宋体" w:cs="宋体"/>
                <w:sz w:val="24"/>
                <w:szCs w:val="24"/>
                <w:lang w:eastAsia="zh-CN"/>
              </w:rPr>
              <w:t>任意1个月缴纳社会保险凭据）；</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（五）参加政府采购活动前三年内，在经营活动中没有重大违法记录（书面承诺）；</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eastAsia="zh-CN"/>
              </w:rPr>
              <w:t>（六）法律、行政法规规定的其他条件（书面承诺）。</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3.2</w:t>
            </w:r>
            <w:r>
              <w:rPr>
                <w:rFonts w:hint="eastAsia" w:ascii="宋体" w:hAnsi="宋体" w:eastAsia="宋体" w:cs="宋体"/>
                <w:sz w:val="24"/>
                <w:szCs w:val="24"/>
                <w:lang w:eastAsia="zh-CN"/>
              </w:rPr>
              <w:t>投标人须具备建设行政主管部门颁发的市政公用工程施工总承包</w:t>
            </w:r>
            <w:r>
              <w:rPr>
                <w:rFonts w:hint="eastAsia" w:ascii="宋体" w:hAnsi="宋体" w:eastAsia="宋体" w:cs="宋体"/>
                <w:sz w:val="24"/>
                <w:szCs w:val="24"/>
                <w:lang w:val="en-US" w:eastAsia="zh-CN"/>
              </w:rPr>
              <w:t>叁</w:t>
            </w:r>
            <w:r>
              <w:rPr>
                <w:rFonts w:hint="eastAsia" w:ascii="宋体" w:hAnsi="宋体" w:eastAsia="宋体" w:cs="宋体"/>
                <w:sz w:val="24"/>
                <w:szCs w:val="24"/>
                <w:lang w:eastAsia="zh-CN"/>
              </w:rPr>
              <w:t>级及以上资质，并在人员、设备、资金等方面具有相应的能力；</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3.3拟派项目经理须具有</w:t>
            </w:r>
            <w:r>
              <w:rPr>
                <w:rFonts w:hint="eastAsia" w:ascii="宋体" w:hAnsi="宋体" w:eastAsia="宋体" w:cs="宋体"/>
                <w:sz w:val="24"/>
                <w:szCs w:val="24"/>
                <w:lang w:eastAsia="zh-CN"/>
              </w:rPr>
              <w:t>市政公用工程专业</w:t>
            </w:r>
            <w:r>
              <w:rPr>
                <w:rFonts w:hint="eastAsia" w:ascii="宋体" w:hAnsi="宋体" w:eastAsia="宋体" w:cs="宋体"/>
                <w:sz w:val="24"/>
                <w:szCs w:val="24"/>
                <w:lang w:val="en-US" w:eastAsia="zh-CN"/>
              </w:rPr>
              <w:t>贰</w:t>
            </w:r>
            <w:r>
              <w:rPr>
                <w:rFonts w:hint="eastAsia" w:ascii="宋体" w:hAnsi="宋体" w:eastAsia="宋体" w:cs="宋体"/>
                <w:sz w:val="24"/>
                <w:szCs w:val="24"/>
                <w:lang w:eastAsia="zh-CN"/>
              </w:rPr>
              <w:t>级及以上注册建造师证书（不含临时）</w:t>
            </w:r>
            <w:r>
              <w:rPr>
                <w:rFonts w:hint="eastAsia" w:ascii="宋体" w:hAnsi="宋体" w:eastAsia="宋体" w:cs="宋体"/>
                <w:sz w:val="24"/>
                <w:szCs w:val="24"/>
                <w:lang w:val="en-US" w:eastAsia="zh-CN"/>
              </w:rPr>
              <w:t>，具备有效的安全生产考核合格证书，且不得有在建工程（要求出具无在建工程书面承诺书），一经查实有在建工程取消中标资格（项目经理承担的合同工程已完工或变更手续齐全以及符合规定情形的，应在投标文件中提供相应证明材料，评标时可视为无在建工程，开标后提供的不予认可）；</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3.4技术负责人须具备中级及以上技术职称；现场管理人员（施工员、质量员、安全员、材料员、资料员）均需提供岗位证书；</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根据《关于在政府采购活动中查询及使用信用记录有关问题的通知》(财库﹝2016﹞125号)和豫财购﹝2016﹞15号的规定，对列入失信被执行人、重大税收违法失信主体、政府采购严重违法失信行为记录名单的供应商，拒绝参与本项目采购活动。（查询渠道：“中国执行信息公开网”（http://zxgk.court.gov.cn/shixin/）、“信用中国”（www.creditchina.gov.cn）、“中国政府采购网”（www.ccgp.gov.cn）；</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3.6本次采购不接受联合体投标。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61" w:name="_Toc32642"/>
            <w:bookmarkStart w:id="262" w:name="_Toc24852"/>
            <w:bookmarkStart w:id="263" w:name="_Toc21728"/>
            <w:bookmarkStart w:id="264" w:name="_Toc31514"/>
            <w:r>
              <w:rPr>
                <w:rFonts w:hint="eastAsia" w:ascii="宋体" w:hAnsi="宋体" w:eastAsia="宋体" w:cs="宋体"/>
                <w:sz w:val="24"/>
                <w:szCs w:val="24"/>
              </w:rPr>
              <w:t>9</w:t>
            </w:r>
            <w:bookmarkEnd w:id="261"/>
            <w:bookmarkEnd w:id="262"/>
            <w:bookmarkEnd w:id="263"/>
            <w:bookmarkEnd w:id="264"/>
          </w:p>
        </w:tc>
        <w:tc>
          <w:tcPr>
            <w:tcW w:w="1061" w:type="pct"/>
            <w:vAlign w:val="center"/>
          </w:tcPr>
          <w:p>
            <w:pPr>
              <w:pStyle w:val="17"/>
              <w:keepNext w:val="0"/>
              <w:keepLines w:val="0"/>
              <w:pageBreakBefore w:val="0"/>
              <w:kinsoku/>
              <w:wordWrap/>
              <w:overflowPunct/>
              <w:topLinePunct w:val="0"/>
              <w:bidi w:val="0"/>
              <w:spacing w:after="0"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投标有效期</w:t>
            </w:r>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rPr>
            </w:pPr>
            <w:r>
              <w:rPr>
                <w:rFonts w:hint="eastAsia" w:ascii="宋体" w:hAnsi="宋体" w:eastAsia="宋体" w:cs="宋体"/>
                <w:sz w:val="24"/>
                <w:szCs w:val="24"/>
              </w:rPr>
              <w:t>60日历天（投标截止之日起）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21" w:type="pct"/>
            <w:vAlign w:val="center"/>
          </w:tcPr>
          <w:p>
            <w:pPr>
              <w:pStyle w:val="17"/>
              <w:keepNext w:val="0"/>
              <w:keepLines w:val="0"/>
              <w:pageBreakBefore w:val="0"/>
              <w:kinsoku/>
              <w:wordWrap/>
              <w:overflowPunct/>
              <w:topLinePunct w:val="0"/>
              <w:bidi w:val="0"/>
              <w:spacing w:after="0"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10</w:t>
            </w:r>
          </w:p>
        </w:tc>
        <w:tc>
          <w:tcPr>
            <w:tcW w:w="1061" w:type="pct"/>
            <w:vAlign w:val="center"/>
          </w:tcPr>
          <w:p>
            <w:pPr>
              <w:pStyle w:val="17"/>
              <w:keepNext w:val="0"/>
              <w:keepLines w:val="0"/>
              <w:pageBreakBefore w:val="0"/>
              <w:kinsoku/>
              <w:wordWrap/>
              <w:overflowPunct/>
              <w:topLinePunct w:val="0"/>
              <w:bidi w:val="0"/>
              <w:spacing w:after="0"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踏勘现场</w:t>
            </w:r>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rPr>
            </w:pPr>
            <w:r>
              <w:rPr>
                <w:rFonts w:hint="eastAsia" w:ascii="宋体" w:hAnsi="宋体" w:eastAsia="宋体" w:cs="宋体"/>
                <w:sz w:val="24"/>
                <w:szCs w:val="24"/>
              </w:rPr>
              <w:t>不组织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421" w:type="pct"/>
            <w:vAlign w:val="center"/>
          </w:tcPr>
          <w:p>
            <w:pPr>
              <w:pStyle w:val="17"/>
              <w:keepNext w:val="0"/>
              <w:keepLines w:val="0"/>
              <w:pageBreakBefore w:val="0"/>
              <w:kinsoku/>
              <w:wordWrap/>
              <w:overflowPunct/>
              <w:topLinePunct w:val="0"/>
              <w:bidi w:val="0"/>
              <w:spacing w:after="0"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11</w:t>
            </w:r>
          </w:p>
        </w:tc>
        <w:tc>
          <w:tcPr>
            <w:tcW w:w="1061" w:type="pct"/>
            <w:vAlign w:val="center"/>
          </w:tcPr>
          <w:p>
            <w:pPr>
              <w:keepNext w:val="0"/>
              <w:keepLines w:val="0"/>
              <w:pageBreakBefore w:val="0"/>
              <w:kinsoku/>
              <w:wordWrap/>
              <w:overflowPunct/>
              <w:topLinePunct w:val="0"/>
              <w:bidi w:val="0"/>
              <w:spacing w:after="0" w:line="400" w:lineRule="exact"/>
              <w:jc w:val="center"/>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质疑</w:t>
            </w:r>
          </w:p>
        </w:tc>
        <w:tc>
          <w:tcPr>
            <w:tcW w:w="3517" w:type="pct"/>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参与本次采购活动的投标人如有异议，可在各环节法定质疑期内向采购代理机构一次性提出针对该采购程序环节的书面质疑函，书面原件送达至竞争性磋商文件列示的采购代理机构及采购单位联系人处；依据法规规定，质疑函应当有明确的请求和必要的证明材料，应当包括下列内容：</w:t>
            </w:r>
          </w:p>
          <w:p>
            <w:pPr>
              <w:keepNext w:val="0"/>
              <w:keepLines w:val="0"/>
              <w:pageBreakBefore w:val="0"/>
              <w:widowControl w:val="0"/>
              <w:kinsoku/>
              <w:wordWrap/>
              <w:overflowPunct/>
              <w:topLinePunct w:val="0"/>
              <w:autoSpaceDE w:val="0"/>
              <w:autoSpaceDN w:val="0"/>
              <w:bidi w:val="0"/>
              <w:adjustRightInd w:val="0"/>
              <w:snapToGrid/>
              <w:spacing w:after="0" w:line="400" w:lineRule="exact"/>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1.投标人的姓名或者名称、地址、邮编、联系人及电话；</w:t>
            </w:r>
          </w:p>
          <w:p>
            <w:pPr>
              <w:keepNext w:val="0"/>
              <w:keepLines w:val="0"/>
              <w:pageBreakBefore w:val="0"/>
              <w:widowControl w:val="0"/>
              <w:kinsoku/>
              <w:wordWrap/>
              <w:overflowPunct/>
              <w:topLinePunct w:val="0"/>
              <w:autoSpaceDE w:val="0"/>
              <w:autoSpaceDN w:val="0"/>
              <w:bidi w:val="0"/>
              <w:adjustRightInd w:val="0"/>
              <w:snapToGrid/>
              <w:spacing w:after="0" w:line="400" w:lineRule="exact"/>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2.质疑项目的名称、编号；</w:t>
            </w:r>
          </w:p>
          <w:p>
            <w:pPr>
              <w:keepNext w:val="0"/>
              <w:keepLines w:val="0"/>
              <w:pageBreakBefore w:val="0"/>
              <w:widowControl w:val="0"/>
              <w:kinsoku/>
              <w:wordWrap/>
              <w:overflowPunct/>
              <w:topLinePunct w:val="0"/>
              <w:autoSpaceDE w:val="0"/>
              <w:autoSpaceDN w:val="0"/>
              <w:bidi w:val="0"/>
              <w:adjustRightInd w:val="0"/>
              <w:snapToGrid/>
              <w:spacing w:after="0" w:line="400" w:lineRule="exact"/>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3.具体、明确的质疑事项和与质疑事项相关的请求；</w:t>
            </w:r>
          </w:p>
          <w:p>
            <w:pPr>
              <w:keepNext w:val="0"/>
              <w:keepLines w:val="0"/>
              <w:pageBreakBefore w:val="0"/>
              <w:widowControl w:val="0"/>
              <w:kinsoku/>
              <w:wordWrap/>
              <w:overflowPunct/>
              <w:topLinePunct w:val="0"/>
              <w:autoSpaceDE w:val="0"/>
              <w:autoSpaceDN w:val="0"/>
              <w:bidi w:val="0"/>
              <w:adjustRightInd w:val="0"/>
              <w:snapToGrid/>
              <w:spacing w:after="0" w:line="400" w:lineRule="exact"/>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4.事实依据；</w:t>
            </w:r>
          </w:p>
          <w:p>
            <w:pPr>
              <w:keepNext w:val="0"/>
              <w:keepLines w:val="0"/>
              <w:pageBreakBefore w:val="0"/>
              <w:widowControl w:val="0"/>
              <w:kinsoku/>
              <w:wordWrap/>
              <w:overflowPunct/>
              <w:topLinePunct w:val="0"/>
              <w:autoSpaceDE w:val="0"/>
              <w:autoSpaceDN w:val="0"/>
              <w:bidi w:val="0"/>
              <w:adjustRightInd w:val="0"/>
              <w:snapToGrid/>
              <w:spacing w:after="0" w:line="400" w:lineRule="exact"/>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5.必要的法律依据；</w:t>
            </w:r>
          </w:p>
          <w:p>
            <w:pPr>
              <w:keepNext w:val="0"/>
              <w:keepLines w:val="0"/>
              <w:pageBreakBefore w:val="0"/>
              <w:widowControl w:val="0"/>
              <w:kinsoku/>
              <w:wordWrap/>
              <w:overflowPunct/>
              <w:topLinePunct w:val="0"/>
              <w:autoSpaceDE w:val="0"/>
              <w:autoSpaceDN w:val="0"/>
              <w:bidi w:val="0"/>
              <w:adjustRightInd w:val="0"/>
              <w:snapToGrid/>
              <w:spacing w:after="0" w:line="400" w:lineRule="exact"/>
              <w:ind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提出质疑的日期，投标人为自然人的，应当由本人签字；投标人为法人或者其他组织的，应当由法定代表人、主要负责人，或者其授权代表签字或者盖章，并加盖公章。如对采购代理机构的答复仍有异议的，可向</w:t>
            </w:r>
            <w:r>
              <w:rPr>
                <w:rFonts w:hint="eastAsia" w:ascii="宋体" w:hAnsi="宋体" w:cs="宋体"/>
                <w:sz w:val="24"/>
                <w:szCs w:val="24"/>
                <w:lang w:val="en-US" w:eastAsia="zh-CN"/>
              </w:rPr>
              <w:t>林州市财政局政府采购监督管理科</w:t>
            </w:r>
            <w:r>
              <w:rPr>
                <w:rFonts w:hint="eastAsia" w:ascii="宋体" w:hAnsi="宋体" w:eastAsia="宋体" w:cs="宋体"/>
                <w:sz w:val="24"/>
                <w:szCs w:val="24"/>
                <w:lang w:val="en-US" w:eastAsia="zh-CN"/>
              </w:rPr>
              <w:t>提出书面投诉。（具体程序按照《政府采购质疑和投诉办法》执行）。</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采购代理机构对潜在投标人在规定的时间内提出的疑问，将视情况以书面形式予以答复，并在其认为必要时，将不标明查询来源的书面答复，在“竞争性磋商公告”所述媒体通告所有潜在投标人。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6"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65" w:name="_Toc6509"/>
            <w:bookmarkStart w:id="266" w:name="_Toc27604"/>
            <w:bookmarkStart w:id="267" w:name="_Toc22158"/>
            <w:bookmarkStart w:id="268" w:name="_Toc11907"/>
            <w:r>
              <w:rPr>
                <w:rFonts w:hint="eastAsia" w:ascii="宋体" w:hAnsi="宋体" w:eastAsia="宋体" w:cs="宋体"/>
                <w:sz w:val="24"/>
                <w:szCs w:val="24"/>
              </w:rPr>
              <w:t>12</w:t>
            </w:r>
            <w:bookmarkEnd w:id="265"/>
            <w:bookmarkEnd w:id="266"/>
            <w:bookmarkEnd w:id="267"/>
            <w:bookmarkEnd w:id="268"/>
          </w:p>
        </w:tc>
        <w:tc>
          <w:tcPr>
            <w:tcW w:w="1061" w:type="pct"/>
            <w:vAlign w:val="center"/>
          </w:tcPr>
          <w:p>
            <w:pPr>
              <w:pStyle w:val="17"/>
              <w:keepNext w:val="0"/>
              <w:keepLines w:val="0"/>
              <w:pageBreakBefore w:val="0"/>
              <w:kinsoku/>
              <w:wordWrap/>
              <w:overflowPunct/>
              <w:topLinePunct w:val="0"/>
              <w:bidi w:val="0"/>
              <w:spacing w:after="0" w:line="4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响应文件的递交和开标信息</w:t>
            </w:r>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1.投标文件递交截止时间及开标时间：</w:t>
            </w:r>
            <w:r>
              <w:rPr>
                <w:rFonts w:hint="eastAsia" w:ascii="宋体" w:hAnsi="宋体" w:cs="宋体"/>
                <w:color w:val="auto"/>
                <w:sz w:val="24"/>
                <w:szCs w:val="24"/>
                <w:lang w:eastAsia="zh-CN"/>
              </w:rPr>
              <w:t>2024年06月</w:t>
            </w:r>
            <w:r>
              <w:rPr>
                <w:rFonts w:hint="eastAsia" w:ascii="宋体" w:hAnsi="宋体" w:cs="宋体"/>
                <w:color w:val="auto"/>
                <w:sz w:val="24"/>
                <w:szCs w:val="24"/>
                <w:lang w:val="en-US" w:eastAsia="zh-CN"/>
              </w:rPr>
              <w:t>13日</w:t>
            </w:r>
            <w:r>
              <w:rPr>
                <w:rFonts w:hint="eastAsia" w:ascii="宋体" w:hAnsi="宋体" w:eastAsia="宋体" w:cs="宋体"/>
                <w:sz w:val="24"/>
                <w:szCs w:val="24"/>
                <w:lang w:val="en-US" w:eastAsia="zh-CN"/>
              </w:rPr>
              <w:t>09点00分（北京时间）</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2.投标文件递交地点（方式）：投标人无需到交易中心现场递交投标文件，只需于</w:t>
            </w:r>
            <w:r>
              <w:rPr>
                <w:rFonts w:hint="eastAsia" w:ascii="宋体" w:hAnsi="宋体" w:cs="宋体"/>
                <w:sz w:val="24"/>
                <w:szCs w:val="24"/>
                <w:lang w:val="en-US" w:eastAsia="zh-CN"/>
              </w:rPr>
              <w:t>林州市公共资源交易中心</w:t>
            </w:r>
            <w:r>
              <w:rPr>
                <w:rFonts w:hint="eastAsia" w:ascii="宋体" w:hAnsi="宋体" w:eastAsia="宋体" w:cs="宋体"/>
                <w:sz w:val="24"/>
                <w:szCs w:val="24"/>
                <w:lang w:val="en-US" w:eastAsia="zh-CN"/>
              </w:rPr>
              <w:t>(</w:t>
            </w:r>
            <w:r>
              <w:rPr>
                <w:rFonts w:hint="eastAsia" w:ascii="宋体" w:hAnsi="宋体" w:eastAsia="宋体" w:cs="宋体"/>
                <w:sz w:val="24"/>
                <w:szCs w:val="24"/>
                <w:lang w:val="en-US" w:eastAsia="zh-CN"/>
              </w:rPr>
              <w:fldChar w:fldCharType="begin"/>
            </w:r>
            <w:r>
              <w:rPr>
                <w:rFonts w:hint="eastAsia" w:ascii="宋体" w:hAnsi="宋体" w:eastAsia="宋体" w:cs="宋体"/>
                <w:sz w:val="24"/>
                <w:szCs w:val="24"/>
                <w:lang w:val="en-US" w:eastAsia="zh-CN"/>
              </w:rPr>
              <w:instrText xml:space="preserve"> HYPERLINK "http://www.ayggzy.cn/index_lz" </w:instrText>
            </w:r>
            <w:r>
              <w:rPr>
                <w:rFonts w:hint="eastAsia" w:ascii="宋体" w:hAnsi="宋体" w:eastAsia="宋体" w:cs="宋体"/>
                <w:sz w:val="24"/>
                <w:szCs w:val="24"/>
                <w:lang w:val="en-US" w:eastAsia="zh-CN"/>
              </w:rPr>
              <w:fldChar w:fldCharType="separate"/>
            </w:r>
            <w:r>
              <w:rPr>
                <w:rFonts w:hint="eastAsia" w:ascii="宋体" w:hAnsi="宋体" w:cs="宋体"/>
                <w:sz w:val="24"/>
                <w:szCs w:val="24"/>
                <w:lang w:val="en-US" w:eastAsia="zh-CN"/>
              </w:rPr>
              <w:t>http://xwz.ggzy.anyang.gov.cn:2345/lzggzy/</w:t>
            </w:r>
            <w:r>
              <w:rPr>
                <w:rFonts w:hint="eastAsia" w:ascii="宋体" w:hAnsi="宋体" w:eastAsia="宋体" w:cs="宋体"/>
                <w:sz w:val="24"/>
                <w:szCs w:val="24"/>
                <w:lang w:val="en-US" w:eastAsia="zh-CN"/>
              </w:rPr>
              <w:fldChar w:fldCharType="end"/>
            </w:r>
            <w:r>
              <w:rPr>
                <w:rFonts w:hint="eastAsia" w:ascii="宋体" w:hAnsi="宋体" w:eastAsia="宋体" w:cs="宋体"/>
                <w:sz w:val="24"/>
                <w:szCs w:val="24"/>
                <w:lang w:val="en-US" w:eastAsia="zh-CN"/>
              </w:rPr>
              <w:t>)网站网上上传递交、并由投标人在规定时间远程解密。</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3.开标地点（管理员网上操作地点）：林州市公共资源交易中心第一开标厅</w:t>
            </w:r>
            <w:r>
              <w:rPr>
                <w:rFonts w:hint="eastAsia" w:ascii="宋体" w:hAnsi="宋体" w:cs="宋体"/>
                <w:sz w:val="24"/>
                <w:szCs w:val="24"/>
                <w:lang w:val="en-US" w:eastAsia="zh-CN"/>
              </w:rPr>
              <w:t>四</w:t>
            </w:r>
            <w:r>
              <w:rPr>
                <w:rFonts w:hint="eastAsia" w:ascii="宋体" w:hAnsi="宋体" w:eastAsia="宋体" w:cs="宋体"/>
                <w:sz w:val="24"/>
                <w:szCs w:val="24"/>
                <w:lang w:val="en-US" w:eastAsia="zh-CN"/>
              </w:rPr>
              <w:t>号机位。</w:t>
            </w:r>
          </w:p>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b/>
                <w:bCs/>
                <w:kern w:val="2"/>
                <w:sz w:val="24"/>
                <w:szCs w:val="24"/>
                <w:lang w:val="en-US" w:eastAsia="zh-CN" w:bidi="ar-SA"/>
              </w:rPr>
            </w:pPr>
            <w:r>
              <w:rPr>
                <w:rFonts w:hint="eastAsia" w:ascii="宋体" w:hAnsi="宋体" w:eastAsia="宋体" w:cs="宋体"/>
                <w:sz w:val="24"/>
                <w:szCs w:val="24"/>
                <w:lang w:val="en-US" w:eastAsia="zh-CN"/>
              </w:rPr>
              <w:t>4.开标方式：本项目采用“网上不见面”开标方式。投标人在</w:t>
            </w:r>
            <w:r>
              <w:rPr>
                <w:rFonts w:hint="eastAsia" w:ascii="宋体" w:hAnsi="宋体" w:cs="宋体"/>
                <w:sz w:val="24"/>
                <w:szCs w:val="24"/>
                <w:lang w:val="en-US" w:eastAsia="zh-CN"/>
              </w:rPr>
              <w:t>林州市公共资源交易中心</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http://xwz.ggzy.anyang.gov.cn:2345/lzggzy/</w:t>
            </w:r>
            <w:r>
              <w:rPr>
                <w:rFonts w:hint="eastAsia" w:ascii="宋体" w:hAnsi="宋体" w:eastAsia="宋体" w:cs="宋体"/>
                <w:sz w:val="24"/>
                <w:szCs w:val="24"/>
                <w:lang w:val="en-US" w:eastAsia="zh-CN"/>
              </w:rPr>
              <w:t>)网站，凭企业数字证书登陆系统，投标人必须在投标截止时间前完成所有投标文件的上传，并“确认并签名”，逾期上传视为网上投标无效。投标人需在开标前打开</w:t>
            </w:r>
            <w:r>
              <w:rPr>
                <w:rFonts w:hint="eastAsia" w:ascii="宋体" w:hAnsi="宋体" w:cs="宋体"/>
                <w:sz w:val="24"/>
                <w:szCs w:val="24"/>
                <w:lang w:val="en-US" w:eastAsia="zh-CN"/>
              </w:rPr>
              <w:t>林州市公共资源交易中心</w:t>
            </w:r>
            <w:r>
              <w:rPr>
                <w:rFonts w:hint="eastAsia" w:ascii="宋体" w:hAnsi="宋体" w:eastAsia="宋体" w:cs="宋体"/>
                <w:sz w:val="24"/>
                <w:szCs w:val="24"/>
                <w:lang w:val="en-US" w:eastAsia="zh-CN"/>
              </w:rPr>
              <w:t>（</w:t>
            </w:r>
            <w:r>
              <w:rPr>
                <w:rFonts w:hint="eastAsia" w:ascii="宋体" w:hAnsi="宋体" w:cs="宋体"/>
                <w:sz w:val="24"/>
                <w:szCs w:val="24"/>
                <w:lang w:val="en-US" w:eastAsia="zh-CN"/>
              </w:rPr>
              <w:t>http://xwz.ggzy.anyang.gov.cn:2345/lzggzy/</w:t>
            </w:r>
            <w:r>
              <w:rPr>
                <w:rFonts w:hint="eastAsia" w:ascii="宋体" w:hAnsi="宋体" w:eastAsia="宋体" w:cs="宋体"/>
                <w:sz w:val="24"/>
                <w:szCs w:val="24"/>
                <w:lang w:val="en-US" w:eastAsia="zh-CN"/>
              </w:rPr>
              <w:t>）网站，凭企业数字证书进入本项目相匹配的网上开标室在规定时间内对本单位的投标文件进行远程解密、答疑澄清等。由于投标人的自身原因，在规定时间内解密不成功的，视为无效投标。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69" w:name="_Toc25145"/>
            <w:bookmarkStart w:id="270" w:name="_Toc8290"/>
            <w:bookmarkStart w:id="271" w:name="_Toc12948"/>
            <w:bookmarkStart w:id="272" w:name="_Toc9843"/>
            <w:r>
              <w:rPr>
                <w:rFonts w:hint="eastAsia" w:ascii="宋体" w:hAnsi="宋体" w:eastAsia="宋体" w:cs="宋体"/>
                <w:sz w:val="24"/>
                <w:szCs w:val="24"/>
              </w:rPr>
              <w:t>13</w:t>
            </w:r>
            <w:bookmarkEnd w:id="269"/>
            <w:bookmarkEnd w:id="270"/>
            <w:bookmarkEnd w:id="271"/>
            <w:bookmarkEnd w:id="272"/>
          </w:p>
        </w:tc>
        <w:tc>
          <w:tcPr>
            <w:tcW w:w="1061" w:type="pct"/>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ind w:left="0" w:left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zh-CN" w:eastAsia="zh-CN"/>
              </w:rPr>
              <w:t>签字或盖章要求</w:t>
            </w:r>
          </w:p>
        </w:tc>
        <w:tc>
          <w:tcPr>
            <w:tcW w:w="3517" w:type="pct"/>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ind w:left="0"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应按“响应文件格式”要求,加盖投标人公章和法定代表人或其授权委托代理人签字或盖章。</w:t>
            </w:r>
          </w:p>
          <w:p>
            <w:pPr>
              <w:keepNext w:val="0"/>
              <w:keepLines w:val="0"/>
              <w:pageBreakBefore w:val="0"/>
              <w:widowControl w:val="0"/>
              <w:kinsoku/>
              <w:wordWrap/>
              <w:overflowPunct/>
              <w:topLinePunct w:val="0"/>
              <w:autoSpaceDE w:val="0"/>
              <w:autoSpaceDN w:val="0"/>
              <w:bidi w:val="0"/>
              <w:adjustRightInd w:val="0"/>
              <w:snapToGrid/>
              <w:spacing w:after="0" w:line="400" w:lineRule="exact"/>
              <w:ind w:left="0" w:leftChars="0"/>
              <w:jc w:val="both"/>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响应文件中各电子标书要加签有效的投标人机构CA数证书、法定代表人个人CA数字证书。</w:t>
            </w:r>
          </w:p>
          <w:p>
            <w:pPr>
              <w:keepNext w:val="0"/>
              <w:keepLines w:val="0"/>
              <w:pageBreakBefore w:val="0"/>
              <w:widowControl w:val="0"/>
              <w:kinsoku/>
              <w:wordWrap/>
              <w:overflowPunct/>
              <w:topLinePunct w:val="0"/>
              <w:autoSpaceDE w:val="0"/>
              <w:autoSpaceDN w:val="0"/>
              <w:bidi w:val="0"/>
              <w:adjustRightInd w:val="0"/>
              <w:snapToGrid/>
              <w:spacing w:after="0" w:line="400" w:lineRule="exact"/>
              <w:ind w:left="0" w:left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注：根据《中华人民共和国电子签名法》，第二条“本法所称电子签名，是指数据在电文中以电子形式所含、所附用于识别签名人身份并表明签名人认可其中内容的数据”，第十四条“可靠的电子签名与手写签名或盖章具有同等的法律效应”，可以认定：用户使用CA数字认证，具有与手写签名相同的法律效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73" w:name="_Toc12145"/>
            <w:bookmarkStart w:id="274" w:name="_Toc31978"/>
            <w:bookmarkStart w:id="275" w:name="_Toc8234"/>
            <w:bookmarkStart w:id="276" w:name="_Toc7664"/>
            <w:r>
              <w:rPr>
                <w:rFonts w:hint="eastAsia" w:ascii="宋体" w:hAnsi="宋体" w:eastAsia="宋体" w:cs="宋体"/>
                <w:sz w:val="24"/>
                <w:szCs w:val="24"/>
              </w:rPr>
              <w:t>14</w:t>
            </w:r>
            <w:bookmarkEnd w:id="273"/>
            <w:bookmarkEnd w:id="274"/>
            <w:bookmarkEnd w:id="275"/>
            <w:bookmarkEnd w:id="276"/>
          </w:p>
        </w:tc>
        <w:tc>
          <w:tcPr>
            <w:tcW w:w="1061" w:type="pct"/>
            <w:vAlign w:val="center"/>
          </w:tcPr>
          <w:p>
            <w:pPr>
              <w:pStyle w:val="17"/>
              <w:keepNext w:val="0"/>
              <w:keepLines w:val="0"/>
              <w:pageBreakBefore w:val="0"/>
              <w:kinsoku/>
              <w:wordWrap/>
              <w:overflowPunct/>
              <w:topLinePunct w:val="0"/>
              <w:bidi w:val="0"/>
              <w:spacing w:after="0" w:line="400" w:lineRule="exact"/>
              <w:jc w:val="center"/>
              <w:textAlignment w:val="auto"/>
              <w:rPr>
                <w:rFonts w:hint="eastAsia" w:ascii="宋体" w:hAnsi="宋体" w:eastAsia="宋体" w:cs="宋体"/>
                <w:kern w:val="2"/>
                <w:sz w:val="24"/>
                <w:szCs w:val="24"/>
                <w:lang w:val="zh-CN" w:eastAsia="zh-CN" w:bidi="ar-SA"/>
              </w:rPr>
            </w:pPr>
            <w:r>
              <w:rPr>
                <w:rFonts w:hint="eastAsia" w:ascii="宋体" w:hAnsi="宋体" w:eastAsia="宋体" w:cs="宋体"/>
                <w:sz w:val="24"/>
                <w:szCs w:val="24"/>
              </w:rPr>
              <w:t>响应文件纸质文件份数</w:t>
            </w:r>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kern w:val="2"/>
                <w:sz w:val="24"/>
                <w:szCs w:val="24"/>
                <w:lang w:val="zh-CN" w:eastAsia="zh-CN" w:bidi="ar-SA"/>
              </w:rPr>
            </w:pPr>
            <w:r>
              <w:rPr>
                <w:rFonts w:hint="eastAsia" w:ascii="宋体" w:hAnsi="宋体" w:eastAsia="宋体" w:cs="宋体"/>
                <w:sz w:val="24"/>
                <w:szCs w:val="24"/>
                <w:lang w:val="en-US" w:eastAsia="zh-CN"/>
              </w:rPr>
              <w:t>中标单位在领取中标通知书前需提交加盖单位公章的纸质版响应文件伍份（纸质版投标文件内容必须与林州市公共资源交易中心系统上内容一致）。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9"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77" w:name="_Toc15865"/>
            <w:bookmarkStart w:id="278" w:name="_Toc18102"/>
            <w:bookmarkStart w:id="279" w:name="_Toc3106"/>
            <w:bookmarkStart w:id="280" w:name="_Toc18795"/>
            <w:r>
              <w:rPr>
                <w:rFonts w:hint="eastAsia" w:ascii="宋体" w:hAnsi="宋体" w:eastAsia="宋体" w:cs="宋体"/>
                <w:sz w:val="24"/>
                <w:szCs w:val="24"/>
              </w:rPr>
              <w:t>15</w:t>
            </w:r>
            <w:bookmarkEnd w:id="277"/>
            <w:bookmarkEnd w:id="278"/>
            <w:bookmarkEnd w:id="279"/>
            <w:bookmarkEnd w:id="280"/>
          </w:p>
        </w:tc>
        <w:tc>
          <w:tcPr>
            <w:tcW w:w="1061" w:type="pct"/>
            <w:vAlign w:val="center"/>
          </w:tcPr>
          <w:p>
            <w:pPr>
              <w:pStyle w:val="17"/>
              <w:keepNext w:val="0"/>
              <w:keepLines w:val="0"/>
              <w:pageBreakBefore w:val="0"/>
              <w:kinsoku/>
              <w:wordWrap/>
              <w:overflowPunct/>
              <w:topLinePunct w:val="0"/>
              <w:bidi w:val="0"/>
              <w:spacing w:after="0" w:line="4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预算金额</w:t>
            </w:r>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本项目预算金额为</w:t>
            </w:r>
            <w:r>
              <w:rPr>
                <w:rFonts w:hint="eastAsia" w:ascii="宋体" w:hAnsi="宋体" w:cs="宋体"/>
                <w:color w:val="auto"/>
                <w:sz w:val="24"/>
                <w:szCs w:val="24"/>
                <w:lang w:val="en-US" w:eastAsia="zh-CN"/>
              </w:rPr>
              <w:t>786034.69</w:t>
            </w:r>
            <w:r>
              <w:rPr>
                <w:rFonts w:hint="eastAsia" w:ascii="宋体" w:hAnsi="宋体" w:eastAsia="宋体" w:cs="宋体"/>
                <w:color w:val="auto"/>
                <w:sz w:val="24"/>
                <w:szCs w:val="24"/>
                <w:lang w:eastAsia="zh-CN"/>
              </w:rPr>
              <w:t>元</w:t>
            </w:r>
            <w:r>
              <w:rPr>
                <w:rFonts w:hint="eastAsia" w:ascii="宋体" w:hAnsi="宋体" w:eastAsia="宋体" w:cs="宋体"/>
                <w:sz w:val="24"/>
                <w:szCs w:val="24"/>
              </w:rPr>
              <w:t>，超过预算金额的按废标处理。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81" w:name="_Toc4383"/>
            <w:bookmarkStart w:id="282" w:name="_Toc22335"/>
            <w:bookmarkStart w:id="283" w:name="_Toc10752"/>
            <w:bookmarkStart w:id="284" w:name="_Toc13891"/>
            <w:r>
              <w:rPr>
                <w:rFonts w:hint="eastAsia" w:ascii="宋体" w:hAnsi="宋体" w:eastAsia="宋体" w:cs="宋体"/>
                <w:sz w:val="24"/>
                <w:szCs w:val="24"/>
              </w:rPr>
              <w:t>16</w:t>
            </w:r>
            <w:bookmarkEnd w:id="281"/>
            <w:bookmarkEnd w:id="282"/>
            <w:bookmarkEnd w:id="283"/>
            <w:bookmarkEnd w:id="284"/>
          </w:p>
        </w:tc>
        <w:tc>
          <w:tcPr>
            <w:tcW w:w="1061" w:type="pct"/>
            <w:vAlign w:val="center"/>
          </w:tcPr>
          <w:p>
            <w:pPr>
              <w:pStyle w:val="17"/>
              <w:keepNext w:val="0"/>
              <w:keepLines w:val="0"/>
              <w:pageBreakBefore w:val="0"/>
              <w:kinsoku/>
              <w:wordWrap/>
              <w:overflowPunct/>
              <w:topLinePunct w:val="0"/>
              <w:bidi w:val="0"/>
              <w:spacing w:after="0" w:line="4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履约保证金</w:t>
            </w:r>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根据安阳市财政局关于进一步优化政府采购营商环境的通知，本项目不收取履约保证金。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7"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85" w:name="_Toc9152"/>
            <w:bookmarkStart w:id="286" w:name="_Toc2035"/>
            <w:bookmarkStart w:id="287" w:name="_Toc30600"/>
            <w:bookmarkStart w:id="288" w:name="_Toc27025"/>
            <w:r>
              <w:rPr>
                <w:rFonts w:hint="eastAsia" w:ascii="宋体" w:hAnsi="宋体" w:eastAsia="宋体" w:cs="宋体"/>
                <w:sz w:val="24"/>
                <w:szCs w:val="24"/>
              </w:rPr>
              <w:t>17</w:t>
            </w:r>
            <w:bookmarkEnd w:id="285"/>
            <w:bookmarkEnd w:id="286"/>
            <w:bookmarkEnd w:id="287"/>
            <w:bookmarkEnd w:id="288"/>
          </w:p>
        </w:tc>
        <w:tc>
          <w:tcPr>
            <w:tcW w:w="1061" w:type="pct"/>
            <w:vAlign w:val="center"/>
          </w:tcPr>
          <w:p>
            <w:pPr>
              <w:keepNext w:val="0"/>
              <w:keepLines w:val="0"/>
              <w:pageBreakBefore w:val="0"/>
              <w:kinsoku/>
              <w:wordWrap/>
              <w:overflowPunct/>
              <w:topLinePunct w:val="0"/>
              <w:bidi w:val="0"/>
              <w:spacing w:after="0"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磋商小组</w:t>
            </w:r>
          </w:p>
          <w:p>
            <w:pPr>
              <w:keepNext w:val="0"/>
              <w:keepLines w:val="0"/>
              <w:pageBreakBefore w:val="0"/>
              <w:kinsoku/>
              <w:wordWrap/>
              <w:overflowPunct/>
              <w:topLinePunct w:val="0"/>
              <w:bidi w:val="0"/>
              <w:spacing w:after="0" w:line="4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的组建</w:t>
            </w:r>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磋商小组人数：由3人组成；其中采购人代表1人；评审专家2人。评审专家确定方式：由业主代表在相关评标专家库中随机抽取。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89" w:name="_Toc470076971"/>
            <w:bookmarkStart w:id="290" w:name="_Toc469902671"/>
            <w:bookmarkStart w:id="291" w:name="_Toc2485"/>
            <w:bookmarkStart w:id="292" w:name="_Toc12003"/>
            <w:bookmarkStart w:id="293" w:name="_Toc9149"/>
            <w:bookmarkStart w:id="294" w:name="_Toc23659"/>
            <w:r>
              <w:rPr>
                <w:rFonts w:hint="eastAsia" w:ascii="宋体" w:hAnsi="宋体" w:eastAsia="宋体" w:cs="宋体"/>
                <w:sz w:val="24"/>
                <w:szCs w:val="24"/>
              </w:rPr>
              <w:t>1</w:t>
            </w:r>
            <w:bookmarkEnd w:id="289"/>
            <w:bookmarkEnd w:id="290"/>
            <w:r>
              <w:rPr>
                <w:rFonts w:hint="eastAsia" w:ascii="宋体" w:hAnsi="宋体" w:eastAsia="宋体" w:cs="宋体"/>
                <w:sz w:val="24"/>
                <w:szCs w:val="24"/>
              </w:rPr>
              <w:t>8</w:t>
            </w:r>
            <w:bookmarkEnd w:id="291"/>
            <w:bookmarkEnd w:id="292"/>
            <w:bookmarkEnd w:id="293"/>
            <w:bookmarkEnd w:id="294"/>
          </w:p>
        </w:tc>
        <w:tc>
          <w:tcPr>
            <w:tcW w:w="1061" w:type="pct"/>
            <w:vAlign w:val="center"/>
          </w:tcPr>
          <w:p>
            <w:pPr>
              <w:keepNext w:val="0"/>
              <w:keepLines w:val="0"/>
              <w:pageBreakBefore w:val="0"/>
              <w:kinsoku/>
              <w:wordWrap/>
              <w:overflowPunct/>
              <w:topLinePunct w:val="0"/>
              <w:bidi w:val="0"/>
              <w:spacing w:after="0" w:line="400" w:lineRule="exact"/>
              <w:jc w:val="center"/>
              <w:textAlignment w:val="auto"/>
              <w:rPr>
                <w:rFonts w:hint="eastAsia" w:ascii="宋体" w:hAnsi="宋体" w:eastAsia="宋体" w:cs="宋体"/>
                <w:sz w:val="24"/>
                <w:szCs w:val="24"/>
              </w:rPr>
            </w:pPr>
            <w:r>
              <w:rPr>
                <w:rFonts w:hint="eastAsia" w:ascii="宋体" w:hAnsi="宋体" w:eastAsia="宋体" w:cs="宋体"/>
                <w:sz w:val="24"/>
                <w:szCs w:val="24"/>
              </w:rPr>
              <w:t>是否授权磋商</w:t>
            </w:r>
          </w:p>
          <w:p>
            <w:pPr>
              <w:keepNext w:val="0"/>
              <w:keepLines w:val="0"/>
              <w:pageBreakBefore w:val="0"/>
              <w:kinsoku/>
              <w:wordWrap/>
              <w:overflowPunct/>
              <w:topLinePunct w:val="0"/>
              <w:bidi w:val="0"/>
              <w:spacing w:after="0" w:line="400" w:lineRule="exact"/>
              <w:jc w:val="center"/>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小组确定成交人</w:t>
            </w:r>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否，推荐的成交候选人数：3名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7"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295" w:name="_Toc29726"/>
            <w:bookmarkStart w:id="296" w:name="_Toc22228"/>
            <w:bookmarkStart w:id="297" w:name="_Toc3332"/>
            <w:bookmarkStart w:id="298" w:name="_Toc4"/>
            <w:r>
              <w:rPr>
                <w:rFonts w:hint="eastAsia" w:ascii="宋体" w:hAnsi="宋体" w:eastAsia="宋体" w:cs="宋体"/>
                <w:sz w:val="24"/>
                <w:szCs w:val="24"/>
              </w:rPr>
              <w:t>19</w:t>
            </w:r>
            <w:bookmarkEnd w:id="295"/>
            <w:bookmarkEnd w:id="296"/>
            <w:bookmarkEnd w:id="297"/>
            <w:bookmarkEnd w:id="298"/>
          </w:p>
        </w:tc>
        <w:tc>
          <w:tcPr>
            <w:tcW w:w="106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kern w:val="2"/>
                <w:sz w:val="24"/>
                <w:szCs w:val="24"/>
                <w:lang w:val="en-US" w:eastAsia="zh-CN" w:bidi="ar-SA"/>
              </w:rPr>
            </w:pPr>
            <w:bookmarkStart w:id="299" w:name="_Toc31222"/>
            <w:bookmarkStart w:id="300" w:name="_Toc27133"/>
            <w:bookmarkStart w:id="301" w:name="_Toc17604"/>
            <w:bookmarkStart w:id="302" w:name="_Toc17111"/>
            <w:r>
              <w:rPr>
                <w:rFonts w:hint="eastAsia" w:ascii="宋体" w:hAnsi="宋体" w:eastAsia="宋体" w:cs="宋体"/>
                <w:sz w:val="24"/>
                <w:szCs w:val="24"/>
              </w:rPr>
              <w:t>付款方式</w:t>
            </w:r>
            <w:bookmarkEnd w:id="299"/>
            <w:bookmarkEnd w:id="300"/>
            <w:bookmarkEnd w:id="301"/>
            <w:bookmarkEnd w:id="302"/>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根据签订的施工合同，施工单位进场后，凭开工报告预付合同 </w:t>
            </w:r>
          </w:p>
          <w:p>
            <w:pPr>
              <w:keepNext w:val="0"/>
              <w:keepLines w:val="0"/>
              <w:pageBreakBefore w:val="0"/>
              <w:widowControl/>
              <w:kinsoku/>
              <w:wordWrap/>
              <w:overflowPunct/>
              <w:topLinePunct w:val="0"/>
              <w:bidi w:val="0"/>
              <w:snapToGrid w:val="0"/>
              <w:spacing w:after="0" w:line="400" w:lineRule="exact"/>
              <w:textAlignment w:val="auto"/>
              <w:rPr>
                <w:rFonts w:hint="default"/>
                <w:lang w:val="en-US" w:eastAsia="zh-CN"/>
              </w:rPr>
            </w:pPr>
            <w:r>
              <w:rPr>
                <w:rFonts w:hint="eastAsia" w:ascii="宋体" w:hAnsi="宋体" w:eastAsia="宋体" w:cs="宋体"/>
                <w:sz w:val="24"/>
                <w:szCs w:val="24"/>
                <w:lang w:val="en-US" w:eastAsia="zh-CN"/>
              </w:rPr>
              <w:t>总价的50%（成交供应商应向采购人提交50%的预付款保函，未提供保函的，视同其放弃预付款的支付）；工程施工期间可根据工程进度支付进度款，工程竣工并验收合格后，可申请支付至合同总价的 80%，经财政决算评审（或第三方决算评审）并且提供完整的竣工资料、发票并向建设单位缴纳决算评审总价的3%作为本项目质保金后，建设单位向施工单位付清工程款（质保金在工程竣工验收一年后，无任何质量问题一次性无息退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303" w:name="_Toc26702"/>
            <w:bookmarkStart w:id="304" w:name="_Toc25863"/>
            <w:bookmarkStart w:id="305" w:name="_Toc13544"/>
            <w:bookmarkStart w:id="306" w:name="_Toc19279"/>
            <w:r>
              <w:rPr>
                <w:rFonts w:hint="eastAsia" w:ascii="宋体" w:hAnsi="宋体" w:eastAsia="宋体" w:cs="宋体"/>
                <w:sz w:val="24"/>
                <w:szCs w:val="24"/>
              </w:rPr>
              <w:t>20</w:t>
            </w:r>
            <w:bookmarkEnd w:id="303"/>
            <w:bookmarkEnd w:id="304"/>
            <w:bookmarkEnd w:id="305"/>
            <w:bookmarkEnd w:id="306"/>
          </w:p>
        </w:tc>
        <w:tc>
          <w:tcPr>
            <w:tcW w:w="106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kern w:val="2"/>
                <w:sz w:val="24"/>
                <w:szCs w:val="24"/>
                <w:lang w:val="en-US" w:eastAsia="zh-CN" w:bidi="ar-SA"/>
              </w:rPr>
            </w:pPr>
            <w:bookmarkStart w:id="307" w:name="_Toc20159"/>
            <w:bookmarkStart w:id="308" w:name="_Toc18688"/>
            <w:bookmarkStart w:id="309" w:name="_Toc9214"/>
            <w:bookmarkStart w:id="310" w:name="_Toc17447"/>
            <w:r>
              <w:rPr>
                <w:rFonts w:hint="eastAsia" w:ascii="宋体" w:hAnsi="宋体" w:eastAsia="宋体" w:cs="宋体"/>
                <w:sz w:val="24"/>
                <w:szCs w:val="24"/>
              </w:rPr>
              <w:t>成交公示</w:t>
            </w:r>
            <w:bookmarkEnd w:id="307"/>
            <w:bookmarkEnd w:id="308"/>
            <w:bookmarkEnd w:id="309"/>
            <w:bookmarkEnd w:id="310"/>
          </w:p>
        </w:tc>
        <w:tc>
          <w:tcPr>
            <w:tcW w:w="3517" w:type="pct"/>
            <w:vAlign w:val="center"/>
          </w:tcPr>
          <w:p>
            <w:pPr>
              <w:keepNext w:val="0"/>
              <w:keepLines w:val="0"/>
              <w:pageBreakBefore w:val="0"/>
              <w:widowControl/>
              <w:kinsoku/>
              <w:wordWrap/>
              <w:overflowPunct/>
              <w:topLinePunct w:val="0"/>
              <w:bidi w:val="0"/>
              <w:snapToGrid w:val="0"/>
              <w:spacing w:after="0" w:line="400" w:lineRule="exact"/>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rPr>
              <w:t>成交结果将在</w:t>
            </w:r>
            <w:r>
              <w:rPr>
                <w:rFonts w:hint="eastAsia" w:ascii="宋体" w:hAnsi="宋体" w:eastAsia="宋体" w:cs="宋体"/>
                <w:sz w:val="24"/>
                <w:szCs w:val="24"/>
                <w:lang w:eastAsia="zh-CN"/>
              </w:rPr>
              <w:t>《中国招标投标公共服务平台》、《</w:t>
            </w:r>
            <w:r>
              <w:rPr>
                <w:rFonts w:hint="eastAsia" w:ascii="宋体" w:hAnsi="宋体" w:eastAsia="宋体" w:cs="宋体"/>
                <w:sz w:val="24"/>
                <w:szCs w:val="24"/>
                <w:lang w:val="en-US" w:eastAsia="zh-CN"/>
              </w:rPr>
              <w:t>河南省政府采购网</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和</w:t>
            </w:r>
            <w:r>
              <w:rPr>
                <w:rFonts w:hint="eastAsia" w:ascii="宋体" w:hAnsi="宋体" w:eastAsia="宋体" w:cs="宋体"/>
                <w:sz w:val="24"/>
                <w:szCs w:val="24"/>
                <w:lang w:eastAsia="zh-CN"/>
              </w:rPr>
              <w:t>《全国公共资源交易平台（河南省·林州市）》</w:t>
            </w:r>
            <w:r>
              <w:rPr>
                <w:rFonts w:hint="eastAsia" w:ascii="宋体" w:hAnsi="宋体" w:eastAsia="宋体" w:cs="宋体"/>
                <w:sz w:val="24"/>
                <w:szCs w:val="24"/>
              </w:rPr>
              <w:t>进行公示。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trPr>
        <w:tc>
          <w:tcPr>
            <w:tcW w:w="42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z w:val="24"/>
                <w:szCs w:val="24"/>
              </w:rPr>
            </w:pPr>
            <w:bookmarkStart w:id="311" w:name="_Toc13230"/>
            <w:bookmarkStart w:id="312" w:name="_Toc16414"/>
            <w:bookmarkStart w:id="313" w:name="_Toc12965"/>
            <w:bookmarkStart w:id="314" w:name="_Toc11764"/>
            <w:r>
              <w:rPr>
                <w:rFonts w:hint="eastAsia" w:ascii="宋体" w:hAnsi="宋体" w:eastAsia="宋体" w:cs="宋体"/>
                <w:sz w:val="24"/>
                <w:szCs w:val="24"/>
              </w:rPr>
              <w:t>21</w:t>
            </w:r>
            <w:bookmarkEnd w:id="311"/>
            <w:bookmarkEnd w:id="312"/>
            <w:bookmarkEnd w:id="313"/>
            <w:bookmarkEnd w:id="314"/>
          </w:p>
        </w:tc>
        <w:tc>
          <w:tcPr>
            <w:tcW w:w="1061" w:type="pct"/>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kern w:val="2"/>
                <w:sz w:val="24"/>
                <w:szCs w:val="24"/>
                <w:lang w:val="en-US" w:eastAsia="zh-CN" w:bidi="ar-SA"/>
              </w:rPr>
            </w:pPr>
            <w:bookmarkStart w:id="315" w:name="_Toc15632"/>
            <w:bookmarkStart w:id="316" w:name="_Toc21809"/>
            <w:bookmarkStart w:id="317" w:name="_Toc24002"/>
            <w:bookmarkStart w:id="318" w:name="_Toc18122"/>
            <w:r>
              <w:rPr>
                <w:rFonts w:hint="eastAsia" w:ascii="宋体" w:hAnsi="宋体" w:eastAsia="宋体" w:cs="宋体"/>
                <w:kern w:val="0"/>
                <w:sz w:val="24"/>
                <w:szCs w:val="24"/>
              </w:rPr>
              <w:t>其它</w:t>
            </w:r>
            <w:bookmarkEnd w:id="315"/>
            <w:bookmarkEnd w:id="316"/>
            <w:bookmarkEnd w:id="317"/>
            <w:bookmarkEnd w:id="318"/>
          </w:p>
        </w:tc>
        <w:tc>
          <w:tcPr>
            <w:tcW w:w="3517" w:type="pct"/>
            <w:vAlign w:val="center"/>
          </w:tcPr>
          <w:p>
            <w:pPr>
              <w:keepNext w:val="0"/>
              <w:keepLines w:val="0"/>
              <w:pageBreakBefore w:val="0"/>
              <w:widowControl w:val="0"/>
              <w:kinsoku/>
              <w:wordWrap/>
              <w:overflowPunct/>
              <w:topLinePunct w:val="0"/>
              <w:autoSpaceDE w:val="0"/>
              <w:autoSpaceDN w:val="0"/>
              <w:bidi w:val="0"/>
              <w:adjustRightInd w:val="0"/>
              <w:snapToGrid/>
              <w:spacing w:after="0" w:line="400" w:lineRule="exact"/>
              <w:ind w:left="0" w:leftChars="0"/>
              <w:jc w:val="both"/>
              <w:textAlignment w:val="auto"/>
              <w:rPr>
                <w:rFonts w:hint="eastAsia" w:ascii="宋体" w:hAnsi="宋体" w:eastAsia="宋体" w:cs="宋体"/>
                <w:sz w:val="24"/>
                <w:szCs w:val="24"/>
              </w:rPr>
            </w:pPr>
            <w:r>
              <w:rPr>
                <w:rFonts w:hint="eastAsia" w:ascii="宋体" w:hAnsi="宋体" w:eastAsia="宋体" w:cs="宋体"/>
                <w:sz w:val="24"/>
                <w:szCs w:val="24"/>
              </w:rPr>
              <w:t>代理服务费由成交方支付；</w:t>
            </w:r>
            <w:r>
              <w:rPr>
                <w:rFonts w:hint="eastAsia" w:ascii="宋体" w:hAnsi="宋体" w:eastAsia="宋体" w:cs="宋体"/>
                <w:sz w:val="24"/>
                <w:szCs w:val="24"/>
                <w:lang w:val="en-US" w:eastAsia="zh-CN"/>
              </w:rPr>
              <w:t>按照河南省招标投标协会《河南省招标代理服务收费指导意见》（豫招协{2023}002 号）文件的规定，招标代理服务费由中标单位支付，招标代理服务费（不含税）由中标单位在领取中标通知书前向采购代理机构支付。</w:t>
            </w:r>
          </w:p>
          <w:p>
            <w:pPr>
              <w:keepNext w:val="0"/>
              <w:keepLines w:val="0"/>
              <w:pageBreakBefore w:val="0"/>
              <w:widowControl w:val="0"/>
              <w:kinsoku/>
              <w:wordWrap/>
              <w:overflowPunct/>
              <w:topLinePunct w:val="0"/>
              <w:autoSpaceDE w:val="0"/>
              <w:autoSpaceDN w:val="0"/>
              <w:bidi w:val="0"/>
              <w:adjustRightInd w:val="0"/>
              <w:snapToGrid/>
              <w:spacing w:after="0" w:line="400" w:lineRule="exact"/>
              <w:ind w:left="0" w:left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sz w:val="24"/>
                <w:szCs w:val="24"/>
                <w:lang w:val="en-US" w:eastAsia="zh-CN"/>
              </w:rPr>
              <w:t>本项目招标文件中对应的中小企业划分标准所属行业：建筑业。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trPr>
        <w:tc>
          <w:tcPr>
            <w:tcW w:w="5000" w:type="pct"/>
            <w:gridSpan w:val="3"/>
            <w:vAlign w:val="center"/>
          </w:tcPr>
          <w:p>
            <w:pPr>
              <w:keepNext w:val="0"/>
              <w:keepLines w:val="0"/>
              <w:pageBreakBefore w:val="0"/>
              <w:kinsoku/>
              <w:wordWrap/>
              <w:overflowPunct/>
              <w:topLinePunct w:val="0"/>
              <w:bidi w:val="0"/>
              <w:spacing w:after="0" w:line="400" w:lineRule="exact"/>
              <w:jc w:val="center"/>
              <w:textAlignment w:val="auto"/>
              <w:outlineLvl w:val="0"/>
              <w:rPr>
                <w:rFonts w:hint="eastAsia" w:ascii="宋体" w:hAnsi="宋体" w:eastAsia="宋体" w:cs="宋体"/>
                <w:spacing w:val="-6"/>
                <w:sz w:val="24"/>
                <w:szCs w:val="24"/>
              </w:rPr>
            </w:pPr>
            <w:bookmarkStart w:id="319" w:name="_Toc14671"/>
            <w:bookmarkStart w:id="320" w:name="_Toc779"/>
            <w:bookmarkStart w:id="321" w:name="_Toc26545"/>
            <w:bookmarkStart w:id="322" w:name="_Toc25673"/>
            <w:bookmarkStart w:id="323" w:name="_Toc470076974"/>
            <w:bookmarkStart w:id="324" w:name="_Toc469902674"/>
            <w:r>
              <w:rPr>
                <w:rFonts w:hint="eastAsia" w:ascii="宋体" w:hAnsi="宋体" w:eastAsia="宋体" w:cs="宋体"/>
                <w:spacing w:val="-6"/>
                <w:sz w:val="24"/>
                <w:szCs w:val="24"/>
              </w:rPr>
              <w:t>本项目竞争性磋商文件最终解释权归</w:t>
            </w:r>
            <w:r>
              <w:rPr>
                <w:rFonts w:hint="eastAsia" w:ascii="宋体" w:hAnsi="宋体" w:eastAsia="宋体" w:cs="宋体"/>
                <w:sz w:val="24"/>
                <w:szCs w:val="24"/>
              </w:rPr>
              <w:t>采购</w:t>
            </w:r>
            <w:r>
              <w:rPr>
                <w:rFonts w:hint="eastAsia" w:ascii="宋体" w:hAnsi="宋体" w:eastAsia="宋体" w:cs="宋体"/>
                <w:spacing w:val="-6"/>
                <w:sz w:val="24"/>
                <w:szCs w:val="24"/>
              </w:rPr>
              <w:t>人和代理公司所有。</w:t>
            </w:r>
            <w:bookmarkEnd w:id="319"/>
            <w:bookmarkEnd w:id="320"/>
            <w:bookmarkEnd w:id="321"/>
            <w:bookmarkEnd w:id="322"/>
            <w:bookmarkEnd w:id="323"/>
            <w:bookmarkEnd w:id="324"/>
          </w:p>
        </w:tc>
      </w:tr>
    </w:tbl>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textAlignment w:val="auto"/>
        <w:outlineLvl w:val="9"/>
        <w:rPr>
          <w:rFonts w:hint="eastAsia" w:ascii="宋体" w:hAnsi="宋体" w:eastAsia="宋体" w:cs="宋体"/>
          <w:b/>
          <w:bCs/>
          <w:sz w:val="28"/>
          <w:szCs w:val="28"/>
        </w:rPr>
      </w:pPr>
      <w:bookmarkStart w:id="325" w:name="_Toc470076975"/>
      <w:bookmarkStart w:id="326" w:name="_Toc469902675"/>
      <w:r>
        <w:rPr>
          <w:rFonts w:hint="eastAsia" w:ascii="宋体" w:hAnsi="宋体" w:eastAsia="宋体" w:cs="宋体"/>
          <w:b/>
          <w:bCs/>
          <w:sz w:val="28"/>
          <w:szCs w:val="28"/>
        </w:rPr>
        <w:t>一、总则</w:t>
      </w:r>
      <w:bookmarkEnd w:id="325"/>
      <w:bookmarkEnd w:id="326"/>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1．项目说明</w:t>
      </w:r>
    </w:p>
    <w:p>
      <w:pPr>
        <w:keepNext w:val="0"/>
        <w:keepLines w:val="0"/>
        <w:pageBreakBefore w:val="0"/>
        <w:widowControl w:val="0"/>
        <w:tabs>
          <w:tab w:val="center" w:pos="4153"/>
        </w:tabs>
        <w:kinsoku/>
        <w:wordWrap/>
        <w:overflowPunct/>
        <w:topLinePunct w:val="0"/>
        <w:autoSpaceDE/>
        <w:autoSpaceDN/>
        <w:bidi w:val="0"/>
        <w:adjustRightInd/>
        <w:snapToGrid/>
        <w:spacing w:after="0" w:line="312" w:lineRule="auto"/>
        <w:ind w:firstLine="424" w:firstLineChars="177"/>
        <w:textAlignment w:val="auto"/>
        <w:outlineLvl w:val="9"/>
        <w:rPr>
          <w:rFonts w:hint="eastAsia" w:ascii="宋体" w:hAnsi="宋体" w:eastAsia="宋体" w:cs="宋体"/>
          <w:b/>
          <w:bCs/>
          <w:color w:val="000000"/>
          <w:sz w:val="24"/>
          <w:szCs w:val="24"/>
          <w:lang w:eastAsia="zh-CN"/>
        </w:rPr>
      </w:pPr>
      <w:r>
        <w:rPr>
          <w:rFonts w:hint="eastAsia" w:ascii="宋体" w:hAnsi="宋体" w:eastAsia="宋体" w:cs="宋体"/>
          <w:sz w:val="24"/>
          <w:szCs w:val="24"/>
        </w:rPr>
        <w:t>1.1 项目名称：</w:t>
      </w:r>
      <w:r>
        <w:rPr>
          <w:rFonts w:hint="eastAsia" w:ascii="宋体" w:hAnsi="宋体" w:cs="宋体"/>
          <w:sz w:val="24"/>
          <w:szCs w:val="24"/>
          <w:lang w:eastAsia="zh-CN"/>
        </w:rPr>
        <w:t>林州市开元街道办事处2024年林州市开元街道田西峪村村组道路项目</w:t>
      </w:r>
    </w:p>
    <w:p>
      <w:pPr>
        <w:keepNext w:val="0"/>
        <w:keepLines w:val="0"/>
        <w:pageBreakBefore w:val="0"/>
        <w:widowControl w:val="0"/>
        <w:tabs>
          <w:tab w:val="center" w:pos="4153"/>
        </w:tabs>
        <w:kinsoku/>
        <w:wordWrap/>
        <w:overflowPunct/>
        <w:topLinePunct w:val="0"/>
        <w:autoSpaceDE/>
        <w:autoSpaceDN/>
        <w:bidi w:val="0"/>
        <w:adjustRightInd/>
        <w:snapToGrid/>
        <w:spacing w:after="0" w:line="312" w:lineRule="auto"/>
        <w:ind w:firstLine="424" w:firstLineChars="177"/>
        <w:textAlignment w:val="auto"/>
        <w:outlineLvl w:val="9"/>
        <w:rPr>
          <w:rFonts w:hint="eastAsia" w:ascii="宋体" w:hAnsi="宋体" w:eastAsia="宋体" w:cs="宋体"/>
          <w:b/>
          <w:bCs/>
          <w:color w:val="000000"/>
          <w:sz w:val="24"/>
          <w:szCs w:val="24"/>
        </w:rPr>
      </w:pPr>
      <w:r>
        <w:rPr>
          <w:rFonts w:hint="eastAsia" w:ascii="宋体" w:hAnsi="宋体" w:eastAsia="宋体" w:cs="宋体"/>
          <w:sz w:val="24"/>
          <w:szCs w:val="24"/>
        </w:rPr>
        <w:t>1.2 本竞争性磋商文件仅适用于本次竞争性磋商公告中所述的“</w:t>
      </w:r>
      <w:r>
        <w:rPr>
          <w:rFonts w:hint="eastAsia" w:ascii="宋体" w:hAnsi="宋体" w:cs="宋体"/>
          <w:sz w:val="24"/>
          <w:szCs w:val="24"/>
          <w:lang w:eastAsia="zh-CN"/>
        </w:rPr>
        <w:t>林州市开元街道办事处2024年林州市开元街道田西峪村村组道路项目</w:t>
      </w:r>
      <w:r>
        <w:rPr>
          <w:rFonts w:hint="eastAsia" w:ascii="宋体" w:hAnsi="宋体" w:eastAsia="宋体" w:cs="宋体"/>
          <w:color w:val="000000"/>
          <w:sz w:val="24"/>
          <w:szCs w:val="24"/>
        </w:rPr>
        <w:t>”</w:t>
      </w:r>
      <w:r>
        <w:rPr>
          <w:rFonts w:hint="eastAsia" w:ascii="宋体" w:hAnsi="宋体" w:eastAsia="宋体" w:cs="宋体"/>
          <w:sz w:val="24"/>
          <w:szCs w:val="24"/>
        </w:rPr>
        <w:t>的采购。</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24" w:firstLineChars="177"/>
        <w:textAlignment w:val="auto"/>
        <w:outlineLvl w:val="9"/>
        <w:rPr>
          <w:rFonts w:hint="eastAsia" w:ascii="宋体" w:hAnsi="宋体" w:eastAsia="宋体" w:cs="宋体"/>
          <w:sz w:val="24"/>
          <w:szCs w:val="24"/>
        </w:rPr>
      </w:pPr>
      <w:r>
        <w:rPr>
          <w:rFonts w:hint="eastAsia" w:ascii="宋体" w:hAnsi="宋体" w:eastAsia="宋体" w:cs="宋体"/>
          <w:sz w:val="24"/>
          <w:szCs w:val="24"/>
        </w:rPr>
        <w:t>1.3 资金来源：详见“投标人须知前附表”。</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24" w:firstLineChars="177"/>
        <w:textAlignment w:val="auto"/>
        <w:outlineLvl w:val="9"/>
        <w:rPr>
          <w:rFonts w:hint="eastAsia" w:ascii="宋体" w:hAnsi="宋体" w:eastAsia="宋体" w:cs="宋体"/>
          <w:sz w:val="24"/>
          <w:szCs w:val="24"/>
        </w:rPr>
      </w:pPr>
      <w:r>
        <w:rPr>
          <w:rFonts w:hint="eastAsia" w:ascii="宋体" w:hAnsi="宋体" w:eastAsia="宋体" w:cs="宋体"/>
          <w:sz w:val="24"/>
          <w:szCs w:val="24"/>
        </w:rPr>
        <w:t>1.4 工期：详见“投标人须知前附表”。</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24" w:firstLineChars="177"/>
        <w:textAlignment w:val="auto"/>
        <w:outlineLvl w:val="9"/>
        <w:rPr>
          <w:rFonts w:hint="eastAsia" w:ascii="宋体" w:hAnsi="宋体" w:eastAsia="宋体" w:cs="宋体"/>
          <w:sz w:val="24"/>
          <w:szCs w:val="24"/>
        </w:rPr>
      </w:pPr>
      <w:r>
        <w:rPr>
          <w:rFonts w:hint="eastAsia" w:ascii="宋体" w:hAnsi="宋体" w:eastAsia="宋体" w:cs="宋体"/>
          <w:sz w:val="24"/>
          <w:szCs w:val="24"/>
        </w:rPr>
        <w:t>1.5 质量：详见“投标人须知前附表”。</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2．投标人资格要求</w:t>
      </w:r>
    </w:p>
    <w:p>
      <w:pPr>
        <w:keepNext w:val="0"/>
        <w:keepLines w:val="0"/>
        <w:pageBreakBefore w:val="0"/>
        <w:widowControl w:val="0"/>
        <w:kinsoku/>
        <w:wordWrap/>
        <w:overflowPunct/>
        <w:topLinePunct w:val="0"/>
        <w:autoSpaceDE/>
        <w:autoSpaceDN/>
        <w:bidi w:val="0"/>
        <w:adjustRightInd/>
        <w:snapToGrid/>
        <w:spacing w:after="0" w:line="312" w:lineRule="auto"/>
        <w:ind w:firstLine="537" w:firstLineChars="224"/>
        <w:textAlignment w:val="auto"/>
        <w:outlineLvl w:val="9"/>
        <w:rPr>
          <w:rFonts w:hint="eastAsia" w:ascii="宋体" w:hAnsi="宋体" w:eastAsia="宋体" w:cs="宋体"/>
          <w:sz w:val="24"/>
          <w:szCs w:val="24"/>
        </w:rPr>
      </w:pPr>
      <w:r>
        <w:rPr>
          <w:rFonts w:hint="eastAsia" w:ascii="宋体" w:hAnsi="宋体" w:eastAsia="宋体" w:cs="宋体"/>
          <w:sz w:val="24"/>
          <w:szCs w:val="24"/>
        </w:rPr>
        <w:t>见投标人须知前附表。</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3．费用承担</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3.1 投标人为参加磋商做准备发生的费用和参加磋商活动发生的一切费用自理。</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2" w:firstLineChars="200"/>
        <w:textAlignment w:val="auto"/>
        <w:outlineLvl w:val="9"/>
        <w:rPr>
          <w:rFonts w:hint="eastAsia" w:ascii="宋体" w:hAnsi="宋体" w:eastAsia="宋体" w:cs="宋体"/>
          <w:b/>
          <w:bCs/>
          <w:sz w:val="24"/>
          <w:szCs w:val="24"/>
        </w:rPr>
      </w:pPr>
      <w:bookmarkStart w:id="327" w:name="_Toc152045539"/>
      <w:bookmarkStart w:id="328" w:name="_Toc152042315"/>
      <w:bookmarkStart w:id="329" w:name="_Toc179632556"/>
      <w:bookmarkStart w:id="330" w:name="_Toc144974507"/>
      <w:r>
        <w:rPr>
          <w:rFonts w:hint="eastAsia" w:ascii="宋体" w:hAnsi="宋体" w:eastAsia="宋体" w:cs="宋体"/>
          <w:b/>
          <w:bCs/>
          <w:sz w:val="24"/>
          <w:szCs w:val="24"/>
        </w:rPr>
        <w:t>4．踏勘现场</w:t>
      </w:r>
      <w:bookmarkEnd w:id="327"/>
      <w:bookmarkEnd w:id="328"/>
      <w:bookmarkEnd w:id="329"/>
      <w:bookmarkEnd w:id="330"/>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outlineLvl w:val="9"/>
        <w:rPr>
          <w:rFonts w:hint="eastAsia" w:ascii="宋体" w:hAnsi="宋体" w:eastAsia="宋体" w:cs="宋体"/>
          <w:spacing w:val="3"/>
          <w:sz w:val="24"/>
          <w:szCs w:val="24"/>
        </w:rPr>
      </w:pPr>
      <w:r>
        <w:rPr>
          <w:rFonts w:hint="eastAsia" w:ascii="宋体" w:hAnsi="宋体" w:eastAsia="宋体" w:cs="宋体"/>
          <w:sz w:val="24"/>
          <w:szCs w:val="24"/>
        </w:rPr>
        <w:t>4.1 采购</w:t>
      </w:r>
      <w:r>
        <w:rPr>
          <w:rFonts w:hint="eastAsia" w:ascii="宋体" w:hAnsi="宋体" w:eastAsia="宋体" w:cs="宋体"/>
          <w:spacing w:val="3"/>
          <w:sz w:val="24"/>
          <w:szCs w:val="24"/>
        </w:rPr>
        <w:t>人及招标代理机构不统一组织现场踏勘；为确保工程进度，投标人可以现场踏勘，以便使投标人获取有关编制响应文件及签署合同所需的有关资料。</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textAlignment w:val="auto"/>
        <w:outlineLvl w:val="9"/>
        <w:rPr>
          <w:rFonts w:hint="eastAsia" w:ascii="宋体" w:hAnsi="宋体" w:eastAsia="宋体" w:cs="宋体"/>
          <w:b/>
          <w:bCs/>
          <w:sz w:val="28"/>
          <w:szCs w:val="28"/>
        </w:rPr>
      </w:pPr>
      <w:bookmarkStart w:id="331" w:name="_Toc469902676"/>
      <w:bookmarkStart w:id="332" w:name="_Toc470076976"/>
      <w:r>
        <w:rPr>
          <w:rFonts w:hint="eastAsia" w:ascii="宋体" w:hAnsi="宋体" w:eastAsia="宋体" w:cs="宋体"/>
          <w:b/>
          <w:bCs/>
          <w:sz w:val="28"/>
          <w:szCs w:val="28"/>
        </w:rPr>
        <w:t>二、竞争性磋商文件说明</w:t>
      </w:r>
      <w:bookmarkEnd w:id="331"/>
      <w:bookmarkEnd w:id="332"/>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2" w:firstLineChars="200"/>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5．竞争性磋商文件构成</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5.1 竞争性磋商文件由下述部分组成：</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（1）竞争性磋商公告</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（2）投标人须知</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（3）工程量清单</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（4）合同条款及格式</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（5）磋商办法</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（6）响应文件格式</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6．竞争性磋商文件的询问或疑问</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6.1合规获取竞争性磋商文件的潜在投标人对竞争性磋商文件如有需澄清的疑问，应</w:t>
      </w:r>
      <w:r>
        <w:rPr>
          <w:rFonts w:hint="eastAsia" w:ascii="宋体" w:hAnsi="宋体" w:eastAsia="宋体" w:cs="宋体"/>
          <w:sz w:val="24"/>
          <w:szCs w:val="24"/>
          <w:lang w:val="en-US" w:eastAsia="zh-CN"/>
        </w:rPr>
        <w:t>按</w:t>
      </w:r>
      <w:r>
        <w:rPr>
          <w:rFonts w:hint="eastAsia" w:ascii="宋体" w:hAnsi="宋体" w:eastAsia="宋体" w:cs="宋体"/>
          <w:sz w:val="24"/>
          <w:szCs w:val="24"/>
        </w:rPr>
        <w:t>投标人须知前附表</w:t>
      </w:r>
      <w:r>
        <w:rPr>
          <w:rFonts w:hint="eastAsia" w:ascii="宋体" w:hAnsi="宋体" w:eastAsia="宋体" w:cs="宋体"/>
          <w:sz w:val="24"/>
          <w:szCs w:val="24"/>
          <w:lang w:val="en-US" w:eastAsia="zh-CN"/>
        </w:rPr>
        <w:t>得</w:t>
      </w:r>
      <w:r>
        <w:rPr>
          <w:rFonts w:hint="eastAsia" w:ascii="宋体" w:hAnsi="宋体" w:eastAsia="宋体" w:cs="宋体"/>
          <w:sz w:val="24"/>
          <w:szCs w:val="24"/>
        </w:rPr>
        <w:t>规定</w:t>
      </w:r>
      <w:r>
        <w:rPr>
          <w:rFonts w:hint="eastAsia" w:ascii="宋体" w:hAnsi="宋体" w:eastAsia="宋体" w:cs="宋体"/>
          <w:sz w:val="24"/>
          <w:szCs w:val="24"/>
          <w:lang w:eastAsia="zh-CN"/>
        </w:rPr>
        <w:t>提出</w:t>
      </w:r>
      <w:r>
        <w:rPr>
          <w:rFonts w:hint="eastAsia" w:ascii="宋体" w:hAnsi="宋体" w:eastAsia="宋体" w:cs="宋体"/>
          <w:sz w:val="24"/>
          <w:szCs w:val="24"/>
        </w:rPr>
        <w:t>。在规定的时间内未提出疑问的，将视为对竞争性磋商文件的完全认可。</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7．竞争性磋商文件的澄清与修改</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lang w:val="en-US" w:eastAsia="zh-CN"/>
        </w:rPr>
      </w:pPr>
      <w:bookmarkStart w:id="333" w:name="_Toc469902677"/>
      <w:bookmarkStart w:id="334" w:name="_Toc470076977"/>
      <w:r>
        <w:rPr>
          <w:rFonts w:hint="eastAsia" w:ascii="宋体" w:hAnsi="宋体" w:eastAsia="宋体" w:cs="宋体"/>
          <w:sz w:val="24"/>
          <w:szCs w:val="24"/>
        </w:rPr>
        <w:t xml:space="preserve">7.1 </w:t>
      </w:r>
      <w:r>
        <w:rPr>
          <w:rFonts w:hint="eastAsia" w:ascii="宋体" w:hAnsi="宋体" w:eastAsia="宋体" w:cs="宋体"/>
          <w:sz w:val="24"/>
          <w:szCs w:val="24"/>
          <w:lang w:eastAsia="zh-CN"/>
        </w:rPr>
        <w:t>采购</w:t>
      </w:r>
      <w:r>
        <w:rPr>
          <w:rFonts w:hint="eastAsia" w:ascii="宋体" w:hAnsi="宋体" w:eastAsia="宋体" w:cs="宋体"/>
          <w:sz w:val="24"/>
          <w:szCs w:val="24"/>
          <w:lang w:val="zh-CN"/>
        </w:rPr>
        <w:t>人可以对已发出的竞争性磋商文件进行必要的澄清或者修改</w:t>
      </w:r>
      <w:r>
        <w:rPr>
          <w:rFonts w:hint="eastAsia" w:ascii="宋体" w:hAnsi="宋体" w:eastAsia="宋体" w:cs="宋体"/>
          <w:sz w:val="24"/>
          <w:szCs w:val="24"/>
          <w:lang w:val="en-US" w:eastAsia="zh-CN"/>
        </w:rPr>
        <w:t>。</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7.2 竞争性磋商</w:t>
      </w:r>
      <w:r>
        <w:rPr>
          <w:rFonts w:hint="eastAsia" w:ascii="宋体" w:hAnsi="宋体" w:eastAsia="宋体" w:cs="宋体"/>
          <w:sz w:val="24"/>
          <w:szCs w:val="24"/>
        </w:rPr>
        <w:t>文件在投标截止时间前的所有澄清、修改（包括时间变更等）、补充事项，均在“</w:t>
      </w:r>
      <w:r>
        <w:rPr>
          <w:rFonts w:hint="eastAsia" w:ascii="宋体" w:hAnsi="宋体" w:eastAsia="宋体" w:cs="宋体"/>
          <w:sz w:val="24"/>
          <w:szCs w:val="24"/>
          <w:lang w:val="en-US" w:eastAsia="zh-CN"/>
        </w:rPr>
        <w:t>竞争性磋商</w:t>
      </w:r>
      <w:r>
        <w:rPr>
          <w:rFonts w:hint="eastAsia" w:ascii="宋体" w:hAnsi="宋体" w:eastAsia="宋体" w:cs="宋体"/>
          <w:sz w:val="24"/>
          <w:szCs w:val="24"/>
        </w:rPr>
        <w:t>公告”所述媒体予以公告。澄清或修改公告一经在法定网站以公告形式发布，依法视为书面通知，不再另行通知。</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7.3</w:t>
      </w:r>
      <w:r>
        <w:rPr>
          <w:rFonts w:hint="eastAsia" w:ascii="宋体" w:hAnsi="宋体" w:eastAsia="宋体" w:cs="宋体"/>
          <w:sz w:val="24"/>
          <w:szCs w:val="24"/>
        </w:rPr>
        <w:t>基于网上电子交易的特点</w:t>
      </w:r>
      <w:r>
        <w:rPr>
          <w:rFonts w:hint="eastAsia" w:ascii="宋体" w:hAnsi="宋体" w:eastAsia="宋体" w:cs="宋体"/>
          <w:sz w:val="24"/>
          <w:szCs w:val="24"/>
          <w:lang w:val="en-US" w:eastAsia="zh-CN"/>
        </w:rPr>
        <w:t>—</w:t>
      </w:r>
      <w:r>
        <w:rPr>
          <w:rFonts w:hint="eastAsia" w:ascii="宋体" w:hAnsi="宋体" w:eastAsia="宋体" w:cs="宋体"/>
          <w:sz w:val="24"/>
          <w:szCs w:val="24"/>
        </w:rPr>
        <w:t>无权限获知或通知潜在供应商</w:t>
      </w:r>
      <w:r>
        <w:rPr>
          <w:rFonts w:hint="eastAsia" w:ascii="宋体" w:hAnsi="宋体" w:eastAsia="宋体" w:cs="宋体"/>
          <w:sz w:val="24"/>
          <w:szCs w:val="24"/>
          <w:lang w:eastAsia="zh-CN"/>
        </w:rPr>
        <w:t>（投标人）</w:t>
      </w:r>
      <w:r>
        <w:rPr>
          <w:rFonts w:hint="eastAsia" w:ascii="宋体" w:hAnsi="宋体" w:eastAsia="宋体" w:cs="宋体"/>
          <w:sz w:val="24"/>
          <w:szCs w:val="24"/>
        </w:rPr>
        <w:t>，潜在供应商</w:t>
      </w:r>
      <w:r>
        <w:rPr>
          <w:rFonts w:hint="eastAsia" w:ascii="宋体" w:hAnsi="宋体" w:eastAsia="宋体" w:cs="宋体"/>
          <w:sz w:val="24"/>
          <w:szCs w:val="24"/>
          <w:lang w:eastAsia="zh-CN"/>
        </w:rPr>
        <w:t>（投标人）</w:t>
      </w:r>
      <w:r>
        <w:rPr>
          <w:rFonts w:hint="eastAsia" w:ascii="宋体" w:hAnsi="宋体" w:eastAsia="宋体" w:cs="宋体"/>
          <w:sz w:val="24"/>
          <w:szCs w:val="24"/>
        </w:rPr>
        <w:t>应随时关注“</w:t>
      </w:r>
      <w:r>
        <w:rPr>
          <w:rFonts w:hint="eastAsia" w:ascii="宋体" w:hAnsi="宋体" w:eastAsia="宋体" w:cs="宋体"/>
          <w:sz w:val="24"/>
          <w:szCs w:val="24"/>
          <w:lang w:val="en-US" w:eastAsia="zh-CN"/>
        </w:rPr>
        <w:t>竞争性磋商</w:t>
      </w:r>
      <w:r>
        <w:rPr>
          <w:rFonts w:hint="eastAsia" w:ascii="宋体" w:hAnsi="宋体" w:eastAsia="宋体" w:cs="宋体"/>
          <w:sz w:val="24"/>
          <w:szCs w:val="24"/>
        </w:rPr>
        <w:t>公告”所述媒体相关项目信息（为免各部门网站出现维护等情况，潜在供应商应对“</w:t>
      </w:r>
      <w:r>
        <w:rPr>
          <w:rFonts w:hint="eastAsia" w:ascii="宋体" w:hAnsi="宋体" w:eastAsia="宋体" w:cs="宋体"/>
          <w:sz w:val="24"/>
          <w:szCs w:val="24"/>
          <w:lang w:val="en-US" w:eastAsia="zh-CN"/>
        </w:rPr>
        <w:t>竞争性磋商</w:t>
      </w:r>
      <w:r>
        <w:rPr>
          <w:rFonts w:hint="eastAsia" w:ascii="宋体" w:hAnsi="宋体" w:eastAsia="宋体" w:cs="宋体"/>
          <w:sz w:val="24"/>
          <w:szCs w:val="24"/>
        </w:rPr>
        <w:t>公告”所述媒体逐一查阅），如有遗漏，后果自负。</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三、响应文件的编写</w:t>
      </w:r>
      <w:bookmarkEnd w:id="333"/>
      <w:bookmarkEnd w:id="334"/>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8．要求</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8.1 投标人应仔细阅读竞争性磋商文件的所有内容，按竞争性磋商文件的要求提供并保证所提供的全部资料的真实性，并对本竞争性磋商文件要求的实质性内容做出响应。　</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8.2 磋商过程所使用的计量单位，应使用国家法定计量单位。</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9．响应文件的组成及格式</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9.1 响应文件应包括磋商文件“第六章响应文件格式”中所要求的内容。</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9.2 投标人应按磋商文件“第六章响应文件格式”中所要求的内容编制响应文件。响应文件应当对磋商文件提出的要求和条件作出明确响应。</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9.3 磋商文件“第六章响应文件格式”仅为对响应文件部分内容的格式化规范，并非响应文件所应具备的全部内容。磋商文件中未列明格式的，由投标人按一般通用格式自行设计。</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9.4 投标人应完整编制响应文件，按磋商文件“第六章响应文件格式”要求顺序编制目录。</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jc w:val="left"/>
        <w:textAlignment w:val="auto"/>
        <w:rPr>
          <w:rFonts w:hint="default" w:ascii="宋体" w:hAnsi="宋体" w:eastAsia="宋体" w:cs="宋体"/>
          <w:sz w:val="24"/>
          <w:szCs w:val="24"/>
          <w:lang w:val="en-US" w:eastAsia="zh-CN"/>
        </w:rPr>
      </w:pPr>
      <w:r>
        <w:rPr>
          <w:rFonts w:hint="eastAsia" w:ascii="宋体" w:hAnsi="宋体" w:eastAsia="宋体" w:cs="宋体"/>
          <w:sz w:val="24"/>
          <w:szCs w:val="24"/>
        </w:rPr>
        <w:t>9.5 投标人应在</w:t>
      </w:r>
      <w:r>
        <w:rPr>
          <w:rFonts w:hint="eastAsia" w:ascii="宋体" w:hAnsi="宋体" w:eastAsia="宋体" w:cs="宋体"/>
          <w:sz w:val="24"/>
          <w:szCs w:val="24"/>
          <w:lang w:eastAsia="zh-CN"/>
        </w:rPr>
        <w:t>林州市公共资源交易中心(</w:t>
      </w:r>
      <w:r>
        <w:rPr>
          <w:rFonts w:hint="eastAsia" w:ascii="宋体" w:hAnsi="宋体" w:cs="宋体"/>
          <w:sz w:val="24"/>
          <w:szCs w:val="24"/>
          <w:lang w:eastAsia="zh-CN"/>
        </w:rPr>
        <w:t>http://xwz.ggzy.anyang.gov.cn:2345/lzggzy/</w:t>
      </w:r>
      <w:r>
        <w:rPr>
          <w:rFonts w:hint="eastAsia" w:ascii="宋体" w:hAnsi="宋体" w:eastAsia="宋体" w:cs="宋体"/>
          <w:sz w:val="24"/>
          <w:szCs w:val="24"/>
          <w:lang w:eastAsia="zh-CN"/>
        </w:rPr>
        <w:t>)网站</w:t>
      </w:r>
      <w:r>
        <w:rPr>
          <w:rFonts w:hint="eastAsia" w:ascii="宋体" w:hAnsi="宋体" w:eastAsia="宋体" w:cs="宋体"/>
          <w:sz w:val="24"/>
          <w:szCs w:val="24"/>
        </w:rPr>
        <w:t>下载并安装投标文件制作工具</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编制投保文件</w:t>
      </w:r>
      <w:r>
        <w:rPr>
          <w:rFonts w:hint="eastAsia" w:ascii="宋体" w:hAnsi="宋体" w:cs="宋体"/>
          <w:sz w:val="24"/>
          <w:szCs w:val="24"/>
          <w:lang w:val="en-US" w:eastAsia="zh-CN"/>
        </w:rPr>
        <w:t>。</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10．报价</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10.1 投标人的报价均为完成本项目所需的全部费用，包括人工、机械、场地及完成磋商内容而未列明的所有费用。</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11．磋商保证金：无</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12．响应文件的签署及规定</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pacing w:val="-4"/>
          <w:sz w:val="24"/>
          <w:szCs w:val="24"/>
        </w:rPr>
      </w:pPr>
      <w:bookmarkStart w:id="335" w:name="_Toc470076978"/>
      <w:bookmarkStart w:id="336" w:name="_Toc469902678"/>
      <w:r>
        <w:rPr>
          <w:rFonts w:hint="eastAsia" w:ascii="宋体" w:hAnsi="宋体" w:eastAsia="宋体" w:cs="宋体"/>
          <w:sz w:val="24"/>
          <w:szCs w:val="24"/>
        </w:rPr>
        <w:t>12.1</w:t>
      </w:r>
      <w:r>
        <w:rPr>
          <w:rFonts w:hint="eastAsia" w:ascii="宋体" w:hAnsi="宋体" w:eastAsia="宋体" w:cs="宋体"/>
          <w:spacing w:val="-4"/>
          <w:sz w:val="24"/>
          <w:szCs w:val="24"/>
        </w:rPr>
        <w:t>响应文件应使用投标人企业数字证书和投标人法定代表人数字证书进行签名并加密，没有使用投标人企业数字证书和投标人法定代表人数字证书进行签名并加密的响应文件，属于未按照竞争性磋商文件要求进行签署。</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12.2根据《中华人民共和国签名或盖章法》规定，可靠的签名或盖章与手写签名或者盖章具有同等的法律效力。本次采购活动中，投标人使用有效的企业数字证书对响应文件进行签名与加盖企业公章具有同等法律效力；投标人法定代表人使用有效的个人数字证书对响应文件进行签名与法人签章具有同等法律效力。</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12.3电报、电话、传真、电子邮件形式的递交概不接受。</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sz w:val="28"/>
          <w:szCs w:val="28"/>
        </w:rPr>
      </w:pPr>
      <w:r>
        <w:rPr>
          <w:rFonts w:hint="eastAsia" w:ascii="宋体" w:hAnsi="宋体" w:eastAsia="宋体" w:cs="宋体"/>
          <w:b/>
          <w:bCs/>
          <w:sz w:val="24"/>
          <w:szCs w:val="24"/>
        </w:rPr>
        <w:t>13．响应文件的密封和标记</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13.1投标人按照磋商文件附件格式要求对响应文件加盖投标人单位盖章和法定代表人签名或盖章。</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13.2 纸质响应文件要求：纸质响应文件采用胶装方式装订，不得采用活页夹等可随时拆换的方式装订。</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14．响应文件的递交</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14.1投标人须在响应文件递交截止时间前制作并提交响应文件。</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14.2 递交地点详见投标人须知前附表。</w:t>
      </w:r>
    </w:p>
    <w:p>
      <w:pPr>
        <w:keepNext w:val="0"/>
        <w:keepLines w:val="0"/>
        <w:pageBreakBefore w:val="0"/>
        <w:widowControl w:val="0"/>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15．迟交的响应文件</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15.1提交响应文件截止时间后，再次递交的响应文件将不再被受理，采购人和代理机构将无法接受投标人提交响应文件。</w:t>
      </w:r>
    </w:p>
    <w:p>
      <w:pPr>
        <w:keepNext w:val="0"/>
        <w:keepLines w:val="0"/>
        <w:pageBreakBefore w:val="0"/>
        <w:widowControl w:val="0"/>
        <w:kinsoku/>
        <w:wordWrap/>
        <w:overflowPunct/>
        <w:topLinePunct w:val="0"/>
        <w:autoSpaceDE/>
        <w:autoSpaceDN/>
        <w:bidi w:val="0"/>
        <w:adjustRightInd/>
        <w:snapToGrid/>
        <w:spacing w:after="0" w:line="312" w:lineRule="auto"/>
        <w:ind w:firstLine="466" w:firstLineChars="200"/>
        <w:textAlignment w:val="auto"/>
        <w:rPr>
          <w:rFonts w:hint="eastAsia" w:ascii="宋体" w:hAnsi="宋体" w:eastAsia="宋体" w:cs="宋体"/>
          <w:b/>
          <w:bCs/>
          <w:spacing w:val="-4"/>
          <w:sz w:val="24"/>
          <w:szCs w:val="24"/>
        </w:rPr>
      </w:pPr>
      <w:r>
        <w:rPr>
          <w:rFonts w:hint="eastAsia" w:ascii="宋体" w:hAnsi="宋体" w:eastAsia="宋体" w:cs="宋体"/>
          <w:b/>
          <w:bCs/>
          <w:spacing w:val="-4"/>
          <w:sz w:val="24"/>
          <w:szCs w:val="24"/>
        </w:rPr>
        <w:t>16.响应文件的修改和撤回</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16.1投标人于提交响应文件截止时间前如对响应文件进行补充、修改，可以上传新的响应文件进行覆盖。在提交响应文件截止时间后，投标人不得再要求修改或撤回其响应文件。</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16.2投标人如撤回响应文件，应及时书面通知代理机构进行办理。</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16.3补充、修改的内容作为响应文件的组成部分。补充、修改的内容与响应文件不一致的，以补充、修改的内容为准。</w:t>
      </w:r>
    </w:p>
    <w:bookmarkEnd w:id="335"/>
    <w:bookmarkEnd w:id="336"/>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textAlignment w:val="auto"/>
        <w:rPr>
          <w:rFonts w:hint="eastAsia" w:ascii="宋体" w:hAnsi="宋体" w:eastAsia="宋体" w:cs="宋体"/>
          <w:b/>
          <w:bCs/>
          <w:sz w:val="28"/>
          <w:szCs w:val="28"/>
        </w:rPr>
      </w:pPr>
      <w:bookmarkStart w:id="337" w:name="_Toc469902679"/>
      <w:bookmarkStart w:id="338" w:name="_Toc470076979"/>
      <w:r>
        <w:rPr>
          <w:rFonts w:hint="eastAsia" w:ascii="宋体" w:hAnsi="宋体" w:eastAsia="宋体" w:cs="宋体"/>
          <w:b/>
          <w:bCs/>
          <w:sz w:val="28"/>
          <w:szCs w:val="28"/>
        </w:rPr>
        <w:t>四、竞争性磋商程序</w:t>
      </w:r>
      <w:bookmarkEnd w:id="337"/>
      <w:bookmarkEnd w:id="338"/>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2" w:firstLineChars="200"/>
        <w:textAlignment w:val="auto"/>
        <w:rPr>
          <w:rStyle w:val="162"/>
          <w:rFonts w:hint="eastAsia" w:ascii="宋体" w:hAnsi="宋体" w:eastAsia="宋体" w:cs="宋体"/>
          <w:sz w:val="24"/>
          <w:szCs w:val="24"/>
        </w:rPr>
      </w:pPr>
      <w:r>
        <w:rPr>
          <w:rFonts w:hint="eastAsia" w:ascii="宋体" w:hAnsi="宋体" w:eastAsia="宋体" w:cs="宋体"/>
          <w:b/>
          <w:bCs/>
          <w:sz w:val="24"/>
          <w:szCs w:val="24"/>
        </w:rPr>
        <w:t>17．</w:t>
      </w:r>
      <w:r>
        <w:rPr>
          <w:rStyle w:val="162"/>
          <w:rFonts w:hint="eastAsia" w:ascii="宋体" w:hAnsi="宋体" w:eastAsia="宋体" w:cs="宋体"/>
          <w:sz w:val="24"/>
          <w:szCs w:val="24"/>
        </w:rPr>
        <w:t>开标</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17.1采购人和代理机构将在磋商文件规定的时间和地点组织开标。</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17.2投标人代表对开标过程和开标记录有疑义，以及认为</w:t>
      </w:r>
      <w:r>
        <w:rPr>
          <w:rFonts w:hint="eastAsia" w:ascii="宋体" w:hAnsi="宋体" w:eastAsia="宋体" w:cs="宋体"/>
          <w:sz w:val="24"/>
          <w:szCs w:val="24"/>
        </w:rPr>
        <w:t>采购</w:t>
      </w:r>
      <w:r>
        <w:rPr>
          <w:rFonts w:hint="eastAsia" w:ascii="宋体" w:hAnsi="宋体" w:eastAsia="宋体" w:cs="宋体"/>
          <w:spacing w:val="-4"/>
          <w:sz w:val="24"/>
          <w:szCs w:val="24"/>
        </w:rPr>
        <w:t>人、代理机构相关工作人员有需要回避的情形的，应在“</w:t>
      </w:r>
      <w:r>
        <w:rPr>
          <w:rFonts w:hint="eastAsia" w:ascii="宋体" w:hAnsi="宋体" w:cs="宋体"/>
          <w:spacing w:val="-4"/>
          <w:sz w:val="24"/>
          <w:szCs w:val="24"/>
          <w:lang w:val="en-US" w:eastAsia="zh-CN"/>
        </w:rPr>
        <w:t>林州</w:t>
      </w:r>
      <w:r>
        <w:rPr>
          <w:rFonts w:hint="eastAsia" w:ascii="宋体" w:hAnsi="宋体" w:eastAsia="宋体" w:cs="宋体"/>
          <w:spacing w:val="-4"/>
          <w:sz w:val="24"/>
          <w:szCs w:val="24"/>
        </w:rPr>
        <w:t>市公共资源交易中心电子交易平台”系统中提出询问或者回避申请。</w:t>
      </w:r>
      <w:r>
        <w:rPr>
          <w:rFonts w:hint="eastAsia" w:ascii="宋体" w:hAnsi="宋体" w:eastAsia="宋体" w:cs="宋体"/>
          <w:sz w:val="24"/>
          <w:szCs w:val="24"/>
        </w:rPr>
        <w:t>采购</w:t>
      </w:r>
      <w:r>
        <w:rPr>
          <w:rFonts w:hint="eastAsia" w:ascii="宋体" w:hAnsi="宋体" w:eastAsia="宋体" w:cs="宋体"/>
          <w:spacing w:val="-4"/>
          <w:sz w:val="24"/>
          <w:szCs w:val="24"/>
        </w:rPr>
        <w:t>人、代理机构对投标人代表提出的询问或者回避申请应当及时处理。</w:t>
      </w:r>
    </w:p>
    <w:p>
      <w:pPr>
        <w:keepNext w:val="0"/>
        <w:keepLines w:val="0"/>
        <w:pageBreakBefore w:val="0"/>
        <w:widowControl w:val="0"/>
        <w:numPr>
          <w:ilvl w:val="0"/>
          <w:numId w:val="5"/>
        </w:numPr>
        <w:tabs>
          <w:tab w:val="left" w:pos="1932"/>
        </w:tabs>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磋商小组</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18.1依据《中华人民共和国政府采购法》及有关法规组建磋商小组，磋商小组由采购人代表和有关专家组成；其中采购人代表1人，评审专家2人,评审专家由采购人代表在相关评标专家库中随机抽取。磋商小组独立对响应文件进行评审，并根据竞争性磋商文件规定的程序与投标人进行磋商，确定中标候选人。</w:t>
      </w:r>
    </w:p>
    <w:p>
      <w:pPr>
        <w:keepNext w:val="0"/>
        <w:keepLines w:val="0"/>
        <w:pageBreakBefore w:val="0"/>
        <w:widowControl w:val="0"/>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spacing w:val="-4"/>
          <w:sz w:val="24"/>
          <w:szCs w:val="24"/>
        </w:rPr>
      </w:pPr>
      <w:r>
        <w:rPr>
          <w:rFonts w:hint="eastAsia" w:ascii="宋体" w:hAnsi="宋体" w:eastAsia="宋体" w:cs="宋体"/>
          <w:b/>
          <w:bCs/>
          <w:sz w:val="24"/>
          <w:szCs w:val="24"/>
        </w:rPr>
        <w:t>19.</w:t>
      </w:r>
      <w:r>
        <w:rPr>
          <w:rFonts w:hint="eastAsia" w:ascii="宋体" w:hAnsi="宋体" w:eastAsia="宋体" w:cs="宋体"/>
          <w:b/>
          <w:bCs/>
          <w:spacing w:val="-4"/>
          <w:sz w:val="24"/>
          <w:szCs w:val="24"/>
        </w:rPr>
        <w:t>对响应文件的审查和确定</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19.1磋商小组将审查响应文件是否完整，是否有计算错误，响应文件是否恰当地签署。</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b/>
          <w:bCs/>
          <w:spacing w:val="-4"/>
          <w:sz w:val="24"/>
          <w:szCs w:val="24"/>
        </w:rPr>
      </w:pPr>
      <w:r>
        <w:rPr>
          <w:rFonts w:hint="eastAsia" w:ascii="宋体" w:hAnsi="宋体" w:eastAsia="宋体" w:cs="宋体"/>
          <w:spacing w:val="-4"/>
          <w:sz w:val="24"/>
          <w:szCs w:val="24"/>
        </w:rPr>
        <w:t>19.2 响应文件报价出现前后不一致的按以下方法更正：大写金额和小写金额不一致的，以大写金额为准；单价金额小数点或者百分比有明显错位的，以开标一览表的总价为准，并修改单价；总价金额与按单价汇总金额不一致的，以单价金额计算结果为准。</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19.3磋商小组在对响应文件进行详细评估之前，依据投标人提供的资格证明资料审查投标人资格，不符合磋商文件要求资格的投标人将被拒绝。</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20．</w:t>
      </w:r>
      <w:r>
        <w:rPr>
          <w:rStyle w:val="162"/>
          <w:rFonts w:hint="eastAsia" w:ascii="宋体" w:hAnsi="宋体" w:eastAsia="宋体" w:cs="宋体"/>
          <w:sz w:val="24"/>
          <w:szCs w:val="24"/>
        </w:rPr>
        <w:t>磋商的程序及内容</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20.1磋商小组按照磋商文件中的评标原则、评标程序及评分标准评定投标人名次。</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20.2磋商小组起草评标报告，向采购人推荐3名中标候选人。采购人原则上应按</w:t>
      </w:r>
      <w:r>
        <w:rPr>
          <w:rFonts w:hint="eastAsia" w:ascii="宋体" w:hAnsi="宋体" w:eastAsia="宋体" w:cs="宋体"/>
          <w:spacing w:val="-4"/>
          <w:sz w:val="24"/>
          <w:szCs w:val="24"/>
          <w:lang w:eastAsia="zh-CN"/>
        </w:rPr>
        <w:t>磋商小组</w:t>
      </w:r>
      <w:r>
        <w:rPr>
          <w:rFonts w:hint="eastAsia" w:ascii="宋体" w:hAnsi="宋体" w:eastAsia="宋体" w:cs="宋体"/>
          <w:spacing w:val="-4"/>
          <w:sz w:val="24"/>
          <w:szCs w:val="24"/>
        </w:rPr>
        <w:t>依法推荐的中标候选人顺序确定中标人。若前位中标候选人不再响应磋商文件或确有重大实质性问题,可以按顺序向下确定中标人，也可以重新招标。</w:t>
      </w:r>
    </w:p>
    <w:p>
      <w:pPr>
        <w:keepNext w:val="0"/>
        <w:keepLines w:val="0"/>
        <w:pageBreakBefore w:val="0"/>
        <w:widowControl w:val="0"/>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color w:val="FF0000"/>
          <w:sz w:val="24"/>
          <w:szCs w:val="24"/>
        </w:rPr>
      </w:pPr>
      <w:r>
        <w:rPr>
          <w:rFonts w:hint="eastAsia" w:ascii="宋体" w:hAnsi="宋体" w:eastAsia="宋体" w:cs="宋体"/>
          <w:b/>
          <w:bCs/>
          <w:color w:val="000000"/>
          <w:sz w:val="24"/>
          <w:szCs w:val="24"/>
        </w:rPr>
        <w:t>21．响应性文件</w:t>
      </w:r>
      <w:r>
        <w:rPr>
          <w:rFonts w:hint="eastAsia" w:ascii="宋体" w:hAnsi="宋体" w:eastAsia="宋体" w:cs="宋体"/>
          <w:b/>
          <w:bCs/>
          <w:sz w:val="24"/>
          <w:szCs w:val="24"/>
        </w:rPr>
        <w:t>的澄清：</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21.1评审期间，投标人法定代表人或委托代理人须时刻关注现场情况并保持通讯畅通。如因通讯不畅导致投标人无法及时澄清而被认定为无效响应等后果由投标人自行承担。</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z w:val="24"/>
          <w:szCs w:val="24"/>
        </w:rPr>
      </w:pPr>
      <w:r>
        <w:rPr>
          <w:rFonts w:hint="eastAsia" w:ascii="宋体" w:hAnsi="宋体" w:eastAsia="宋体" w:cs="宋体"/>
          <w:spacing w:val="-4"/>
          <w:sz w:val="24"/>
          <w:szCs w:val="24"/>
        </w:rPr>
        <w:t>21.2</w:t>
      </w:r>
      <w:r>
        <w:rPr>
          <w:rFonts w:hint="eastAsia" w:ascii="宋体" w:hAnsi="宋体" w:eastAsia="宋体" w:cs="宋体"/>
          <w:sz w:val="24"/>
          <w:szCs w:val="24"/>
        </w:rPr>
        <w:t>为有助于对响应文件进行审查、评估和比较，磋商小组有权向投标人提出质疑，请投标人澄清其响应文件内容，投标人有责任按照磋商小组规定的时间要求进行答疑和澄清。</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21.3投标人的澄清、说明或者补正应当采用书面形式，并加盖公章，或者由法定代表人或其授权的代表签字。并将澄清内容作为附件上传至</w:t>
      </w:r>
      <w:r>
        <w:rPr>
          <w:rFonts w:hint="eastAsia" w:ascii="宋体" w:hAnsi="宋体" w:eastAsia="宋体" w:cs="宋体"/>
          <w:b/>
          <w:bCs/>
          <w:spacing w:val="-4"/>
          <w:sz w:val="24"/>
          <w:szCs w:val="24"/>
        </w:rPr>
        <w:t>“</w:t>
      </w:r>
      <w:r>
        <w:rPr>
          <w:rFonts w:hint="eastAsia" w:ascii="宋体" w:hAnsi="宋体" w:eastAsia="宋体" w:cs="宋体"/>
          <w:b/>
          <w:bCs/>
          <w:sz w:val="24"/>
          <w:szCs w:val="24"/>
        </w:rPr>
        <w:t>林州市公交资源交易中心（</w:t>
      </w:r>
      <w:r>
        <w:rPr>
          <w:rFonts w:hint="eastAsia" w:ascii="宋体" w:hAnsi="宋体" w:cs="宋体"/>
          <w:b/>
          <w:bCs/>
          <w:sz w:val="24"/>
          <w:szCs w:val="24"/>
          <w:lang w:eastAsia="zh-CN"/>
        </w:rPr>
        <w:t>http://xwz.ggzy.anyang.gov.cn:2345/lzggzy/</w:t>
      </w:r>
      <w:r>
        <w:rPr>
          <w:rFonts w:hint="eastAsia" w:ascii="宋体" w:hAnsi="宋体" w:eastAsia="宋体" w:cs="宋体"/>
          <w:b/>
          <w:bCs/>
          <w:sz w:val="24"/>
          <w:szCs w:val="24"/>
        </w:rPr>
        <w:t>）</w:t>
      </w:r>
      <w:r>
        <w:rPr>
          <w:rFonts w:hint="eastAsia" w:ascii="宋体" w:hAnsi="宋体" w:eastAsia="宋体" w:cs="宋体"/>
          <w:b/>
          <w:bCs/>
          <w:spacing w:val="-4"/>
          <w:sz w:val="24"/>
          <w:szCs w:val="24"/>
        </w:rPr>
        <w:t>电子交易平台”</w:t>
      </w:r>
      <w:r>
        <w:rPr>
          <w:rFonts w:hint="eastAsia" w:ascii="宋体" w:hAnsi="宋体" w:eastAsia="宋体" w:cs="宋体"/>
          <w:spacing w:val="-4"/>
          <w:sz w:val="24"/>
          <w:szCs w:val="24"/>
        </w:rPr>
        <w:t>系统中。</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21.4投标人的澄清、说明或者补正不得超出响应文件的范围或者改变响应文件的实质性内容。</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21.5投标人的澄清是响应文件的组成部分，并取代响应文件中被澄清的部分。</w:t>
      </w:r>
    </w:p>
    <w:p>
      <w:pPr>
        <w:keepNext w:val="0"/>
        <w:keepLines w:val="0"/>
        <w:pageBreakBefore w:val="0"/>
        <w:widowControl w:val="0"/>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color w:val="000000"/>
          <w:sz w:val="24"/>
          <w:szCs w:val="24"/>
        </w:rPr>
      </w:pPr>
      <w:r>
        <w:rPr>
          <w:rFonts w:hint="eastAsia" w:ascii="宋体" w:hAnsi="宋体" w:eastAsia="宋体" w:cs="宋体"/>
          <w:b/>
          <w:bCs/>
          <w:color w:val="000000"/>
          <w:sz w:val="24"/>
          <w:szCs w:val="24"/>
        </w:rPr>
        <w:t>22. 注意事项</w:t>
      </w:r>
      <w:r>
        <w:rPr>
          <w:rFonts w:hint="eastAsia" w:ascii="宋体" w:hAnsi="宋体" w:eastAsia="宋体" w:cs="宋体"/>
          <w:color w:val="000000"/>
          <w:sz w:val="24"/>
          <w:szCs w:val="24"/>
        </w:rPr>
        <w:t>：</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22.1磋商投标人出现下列情形之一的，磋商小组可取消其磋商资格：</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（1）未按竞争性磋商文件规定提交有关材料的；</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（2）有违反政府采购法律、法规行为的。</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22.2投标人出现下列情形之一的，磋商小组在评审中按废标处理：</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(1)最后报价有选择性的；</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(2)不符合竞争性磋商文件中规定的其他实质性要求；</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22.3经查实，若投标人有提供虚假证明文件的行为，采购人视情节轻重和影响程度报政府相关监督管理部门处理。</w:t>
      </w:r>
    </w:p>
    <w:p>
      <w:pPr>
        <w:keepNext w:val="0"/>
        <w:keepLines w:val="0"/>
        <w:pageBreakBefore w:val="0"/>
        <w:widowControl w:val="0"/>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24. 确定成交投标人的原则</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24.1 磋商小组将严格按照磋商文件的要求和条件进行比较并出具评审报告,评审报告应当由磋商小组全体人员签字认可。磋商小组成员对评审报告有异议的，磋商小组按照少数服从多数的原则推荐成交候选投标人，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24.2采购代理机构应当在评审结束后2个工作日内将评审报告送采购人确认，采购人应当在收到评审报告后5个工作日内，从评审报告提出的成交候选投标人中，按照排序由高到低的原则确定成交投标人，也可以书面授权磋商小组直接确定成交投标人。采购人逾期未确定成交投标人且不提出异议的，视为确定评审报告提出的排序第一的投标人为成交投标人；</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24.3采购人或者采购代理机构应当在成交投标人确定后2个工作日内，在省级以上财政部门指定的政府采购信息发布媒体上公告成交结果，同时向成交投标人发出成交通知书 ；</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24.4 成交投标人拒绝签订政府采购合同的，采购人将把排名第二的成交候选投标人作为成交投标人并签订政府采购合同（以此类推）,也可以重新开展采购活动。拒绝签订政府采购合同的成交投标人不得参加对该项目重新开展的采购活动。</w:t>
      </w:r>
    </w:p>
    <w:p>
      <w:pPr>
        <w:keepNext w:val="0"/>
        <w:keepLines w:val="0"/>
        <w:pageBreakBefore w:val="0"/>
        <w:widowControl w:val="0"/>
        <w:kinsoku/>
        <w:wordWrap/>
        <w:overflowPunct/>
        <w:topLinePunct w:val="0"/>
        <w:autoSpaceDE/>
        <w:autoSpaceDN/>
        <w:bidi w:val="0"/>
        <w:adjustRightInd/>
        <w:snapToGrid/>
        <w:spacing w:after="0" w:line="312"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 xml:space="preserve">    25. 确定成交投标人的标准方法</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color w:val="FF0000"/>
          <w:sz w:val="24"/>
          <w:szCs w:val="24"/>
        </w:rPr>
      </w:pPr>
      <w:r>
        <w:rPr>
          <w:rFonts w:hint="eastAsia" w:ascii="宋体" w:hAnsi="宋体" w:eastAsia="宋体" w:cs="宋体"/>
          <w:color w:val="000000"/>
          <w:sz w:val="24"/>
          <w:szCs w:val="24"/>
        </w:rPr>
        <w:t>详见竞争性磋商文件第五章</w:t>
      </w:r>
      <w:r>
        <w:rPr>
          <w:rFonts w:hint="eastAsia" w:ascii="宋体" w:hAnsi="宋体" w:eastAsia="宋体" w:cs="宋体"/>
          <w:sz w:val="24"/>
          <w:szCs w:val="24"/>
        </w:rPr>
        <w:t>“磋商办法”。</w:t>
      </w:r>
    </w:p>
    <w:p>
      <w:pPr>
        <w:keepNext w:val="0"/>
        <w:keepLines w:val="0"/>
        <w:pageBreakBefore w:val="0"/>
        <w:widowControl w:val="0"/>
        <w:kinsoku/>
        <w:wordWrap/>
        <w:overflowPunct/>
        <w:topLinePunct w:val="0"/>
        <w:autoSpaceDE/>
        <w:autoSpaceDN/>
        <w:bidi w:val="0"/>
        <w:adjustRightInd/>
        <w:snapToGrid/>
        <w:spacing w:after="0" w:line="312" w:lineRule="auto"/>
        <w:ind w:firstLine="466" w:firstLineChars="200"/>
        <w:textAlignment w:val="auto"/>
        <w:rPr>
          <w:rFonts w:hint="eastAsia" w:ascii="宋体" w:hAnsi="宋体" w:eastAsia="宋体" w:cs="宋体"/>
          <w:b/>
          <w:bCs/>
          <w:spacing w:val="-4"/>
          <w:sz w:val="24"/>
          <w:szCs w:val="24"/>
        </w:rPr>
      </w:pPr>
      <w:r>
        <w:rPr>
          <w:rFonts w:hint="eastAsia" w:ascii="宋体" w:hAnsi="宋体" w:eastAsia="宋体" w:cs="宋体"/>
          <w:b/>
          <w:bCs/>
          <w:spacing w:val="-4"/>
          <w:sz w:val="24"/>
          <w:szCs w:val="24"/>
        </w:rPr>
        <w:t>26. 保密及其它注意事项</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26.1 评审是采购工作的重要环节，评审工作在磋商小组内独立进行。</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26.2磋商小组将遵照规定的评审方法，公正、平等地对待所有投标人。</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26.3在评审期间，投标人不得向磋商小组询问情况，不得进行旨在影响评审结果的活动。</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26.4为保证评审的公正性磋商小组不得与投标人私下交换意见。</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26.5在评审工作结束后，凡与评审情况有接触的任何人不得擅自将评审情况扩散出评审人员之外。</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26.6磋商小组不向磋商投标人解释未成交的原因，不退还响应文件。</w:t>
      </w:r>
    </w:p>
    <w:p>
      <w:pPr>
        <w:keepNext w:val="0"/>
        <w:keepLines w:val="0"/>
        <w:pageBreakBefore w:val="0"/>
        <w:widowControl w:val="0"/>
        <w:tabs>
          <w:tab w:val="left" w:pos="1932"/>
        </w:tabs>
        <w:kinsoku/>
        <w:wordWrap/>
        <w:overflowPunct/>
        <w:topLinePunct w:val="0"/>
        <w:autoSpaceDE/>
        <w:autoSpaceDN/>
        <w:bidi w:val="0"/>
        <w:adjustRightInd/>
        <w:snapToGrid/>
        <w:spacing w:after="0" w:line="312" w:lineRule="auto"/>
        <w:textAlignment w:val="auto"/>
        <w:rPr>
          <w:rFonts w:hint="eastAsia" w:ascii="宋体" w:hAnsi="宋体" w:eastAsia="宋体" w:cs="宋体"/>
          <w:sz w:val="28"/>
          <w:szCs w:val="28"/>
        </w:rPr>
      </w:pPr>
      <w:bookmarkStart w:id="339" w:name="_Toc469902680"/>
      <w:bookmarkStart w:id="340" w:name="_Toc470076980"/>
      <w:r>
        <w:rPr>
          <w:rFonts w:hint="eastAsia" w:ascii="宋体" w:hAnsi="宋体" w:eastAsia="宋体" w:cs="宋体"/>
          <w:b/>
          <w:bCs/>
          <w:sz w:val="28"/>
          <w:szCs w:val="28"/>
        </w:rPr>
        <w:t>五、授予合同</w:t>
      </w:r>
      <w:bookmarkEnd w:id="339"/>
      <w:bookmarkEnd w:id="340"/>
    </w:p>
    <w:p>
      <w:pPr>
        <w:keepNext w:val="0"/>
        <w:keepLines w:val="0"/>
        <w:pageBreakBefore w:val="0"/>
        <w:widowControl w:val="0"/>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27.</w:t>
      </w:r>
      <w:r>
        <w:rPr>
          <w:rFonts w:hint="eastAsia" w:ascii="宋体" w:hAnsi="宋体" w:eastAsia="宋体" w:cs="宋体"/>
          <w:sz w:val="24"/>
          <w:szCs w:val="24"/>
        </w:rPr>
        <w:t>磋商结束后，将根据磋商小组出具的成交报告，经采购人确认后向中标人签发《中标通知书》。</w:t>
      </w:r>
    </w:p>
    <w:p>
      <w:pPr>
        <w:keepNext w:val="0"/>
        <w:keepLines w:val="0"/>
        <w:pageBreakBefore w:val="0"/>
        <w:widowControl w:val="0"/>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28.</w:t>
      </w:r>
      <w:r>
        <w:rPr>
          <w:rFonts w:hint="eastAsia" w:ascii="宋体" w:hAnsi="宋体" w:eastAsia="宋体" w:cs="宋体"/>
          <w:sz w:val="24"/>
          <w:szCs w:val="24"/>
        </w:rPr>
        <w:t>采购人与成交投标人应当在成交通知书发出之日起30日内，按照磋商文件确定的合同文本以及采购标的采购金额、技术和服务要求等事项签订政府采购合同。采购人不得向成交投标人提出超出磋商文件以外的任何要求作为签订合同的条件，不得与成交投标人订立背离磋商文件确定的合同文本以及采购标的采购金额、技术和服务要求等实质性内容的协议；</w:t>
      </w:r>
    </w:p>
    <w:p>
      <w:pPr>
        <w:keepNext w:val="0"/>
        <w:keepLines w:val="0"/>
        <w:pageBreakBefore w:val="0"/>
        <w:widowControl w:val="0"/>
        <w:kinsoku/>
        <w:wordWrap/>
        <w:overflowPunct/>
        <w:topLinePunct w:val="0"/>
        <w:autoSpaceDE/>
        <w:autoSpaceDN/>
        <w:bidi w:val="0"/>
        <w:adjustRightInd/>
        <w:snapToGrid/>
        <w:spacing w:after="0" w:line="312" w:lineRule="auto"/>
        <w:ind w:firstLine="498" w:firstLineChars="200"/>
        <w:textAlignment w:val="auto"/>
        <w:rPr>
          <w:rFonts w:hint="eastAsia" w:ascii="宋体" w:hAnsi="宋体" w:eastAsia="宋体" w:cs="宋体"/>
          <w:sz w:val="24"/>
          <w:szCs w:val="24"/>
        </w:rPr>
      </w:pPr>
      <w:r>
        <w:rPr>
          <w:rFonts w:hint="eastAsia" w:ascii="宋体" w:hAnsi="宋体" w:eastAsia="宋体" w:cs="宋体"/>
          <w:b/>
          <w:bCs/>
          <w:spacing w:val="4"/>
          <w:sz w:val="24"/>
          <w:szCs w:val="24"/>
        </w:rPr>
        <w:t>29.</w:t>
      </w:r>
      <w:r>
        <w:rPr>
          <w:rFonts w:hint="eastAsia" w:ascii="宋体" w:hAnsi="宋体" w:eastAsia="宋体" w:cs="宋体"/>
          <w:sz w:val="24"/>
          <w:szCs w:val="24"/>
        </w:rPr>
        <w:t>成交人应按“投标人须知前附表”中的相关规定缴纳履约保证金。成交人不按要求提交履约保证金的，视为放弃成交。</w:t>
      </w:r>
    </w:p>
    <w:p>
      <w:pPr>
        <w:keepNext w:val="0"/>
        <w:keepLines w:val="0"/>
        <w:pageBreakBefore w:val="0"/>
        <w:widowControl w:val="0"/>
        <w:kinsoku/>
        <w:wordWrap/>
        <w:overflowPunct/>
        <w:topLinePunct w:val="0"/>
        <w:autoSpaceDE/>
        <w:autoSpaceDN/>
        <w:bidi w:val="0"/>
        <w:adjustRightInd/>
        <w:snapToGrid/>
        <w:spacing w:after="0" w:line="312"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如果在规定的时间内成交人不能完成合同内容，采购人将选择第二成交候选人完成合同内容，履约保证金不予退还，并赔偿采购人相关损失。</w:t>
      </w:r>
    </w:p>
    <w:p>
      <w:pPr>
        <w:keepNext w:val="0"/>
        <w:keepLines w:val="0"/>
        <w:pageBreakBefore w:val="0"/>
        <w:widowControl w:val="0"/>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spacing w:val="4"/>
          <w:sz w:val="24"/>
          <w:szCs w:val="24"/>
        </w:rPr>
      </w:pPr>
      <w:r>
        <w:rPr>
          <w:rFonts w:hint="eastAsia" w:ascii="宋体" w:hAnsi="宋体" w:eastAsia="宋体" w:cs="宋体"/>
          <w:b/>
          <w:bCs/>
          <w:sz w:val="24"/>
          <w:szCs w:val="24"/>
        </w:rPr>
        <w:t>30.</w:t>
      </w:r>
      <w:r>
        <w:rPr>
          <w:rFonts w:hint="eastAsia" w:ascii="宋体" w:hAnsi="宋体" w:eastAsia="宋体" w:cs="宋体"/>
          <w:spacing w:val="4"/>
          <w:sz w:val="24"/>
          <w:szCs w:val="24"/>
        </w:rPr>
        <w:t>成交人无正当理由拒签合同的，</w:t>
      </w:r>
      <w:r>
        <w:rPr>
          <w:rFonts w:hint="eastAsia" w:ascii="宋体" w:hAnsi="宋体" w:eastAsia="宋体" w:cs="宋体"/>
          <w:sz w:val="24"/>
          <w:szCs w:val="24"/>
        </w:rPr>
        <w:t>采购</w:t>
      </w:r>
      <w:r>
        <w:rPr>
          <w:rFonts w:hint="eastAsia" w:ascii="宋体" w:hAnsi="宋体" w:eastAsia="宋体" w:cs="宋体"/>
          <w:spacing w:val="4"/>
          <w:sz w:val="24"/>
          <w:szCs w:val="24"/>
        </w:rPr>
        <w:t>人取消其中标资格。成交人和</w:t>
      </w:r>
      <w:r>
        <w:rPr>
          <w:rFonts w:hint="eastAsia" w:ascii="宋体" w:hAnsi="宋体" w:eastAsia="宋体" w:cs="宋体"/>
          <w:sz w:val="24"/>
          <w:szCs w:val="24"/>
        </w:rPr>
        <w:t>采购</w:t>
      </w:r>
      <w:r>
        <w:rPr>
          <w:rFonts w:hint="eastAsia" w:ascii="宋体" w:hAnsi="宋体" w:eastAsia="宋体" w:cs="宋体"/>
          <w:spacing w:val="4"/>
          <w:sz w:val="24"/>
          <w:szCs w:val="24"/>
        </w:rPr>
        <w:t>人不得私下订立背离合同实质性内容的协议，不得变更竞争性磋商文件和响应文件的实质性内容。</w:t>
      </w:r>
    </w:p>
    <w:p>
      <w:pPr>
        <w:keepNext w:val="0"/>
        <w:keepLines w:val="0"/>
        <w:pageBreakBefore w:val="0"/>
        <w:widowControl w:val="0"/>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sz w:val="24"/>
          <w:szCs w:val="24"/>
        </w:rPr>
      </w:pPr>
      <w:r>
        <w:rPr>
          <w:rFonts w:hint="eastAsia" w:ascii="宋体" w:hAnsi="宋体" w:eastAsia="宋体" w:cs="宋体"/>
          <w:b/>
          <w:bCs/>
          <w:sz w:val="24"/>
          <w:szCs w:val="24"/>
        </w:rPr>
        <w:t>31.</w:t>
      </w:r>
      <w:r>
        <w:rPr>
          <w:rFonts w:hint="eastAsia" w:ascii="宋体" w:hAnsi="宋体" w:eastAsia="宋体" w:cs="宋体"/>
          <w:sz w:val="24"/>
          <w:szCs w:val="24"/>
        </w:rPr>
        <w:t>《成交通知书》、竞争性磋商文件、成交人的响应文件及其澄清文件等，均为签定合同的重要依据。</w:t>
      </w:r>
    </w:p>
    <w:p>
      <w:pPr>
        <w:keepNext w:val="0"/>
        <w:keepLines w:val="0"/>
        <w:pageBreakBefore w:val="0"/>
        <w:widowControl w:val="0"/>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32.质疑和投诉</w:t>
      </w:r>
    </w:p>
    <w:p>
      <w:pPr>
        <w:keepNext w:val="0"/>
        <w:keepLines w:val="0"/>
        <w:pageBreakBefore w:val="0"/>
        <w:widowControl w:val="0"/>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val="0"/>
          <w:bCs w:val="0"/>
          <w:sz w:val="24"/>
          <w:szCs w:val="24"/>
        </w:rPr>
      </w:pPr>
      <w:bookmarkStart w:id="341" w:name="_Toc217446079"/>
      <w:r>
        <w:rPr>
          <w:rFonts w:hint="eastAsia" w:ascii="宋体" w:hAnsi="宋体" w:eastAsia="宋体" w:cs="宋体"/>
          <w:b/>
          <w:bCs/>
          <w:sz w:val="24"/>
          <w:szCs w:val="24"/>
        </w:rPr>
        <w:t>32.1</w:t>
      </w:r>
      <w:r>
        <w:rPr>
          <w:rFonts w:hint="eastAsia" w:ascii="宋体" w:hAnsi="宋体" w:eastAsia="宋体" w:cs="宋体"/>
          <w:b w:val="0"/>
          <w:bCs w:val="0"/>
          <w:sz w:val="24"/>
          <w:szCs w:val="24"/>
        </w:rPr>
        <w:t xml:space="preserve"> 投标人认为竞争性磋商文件、磋商过程、成交结果使自己的权益受到损害的，可在公示期内向采购人（</w:t>
      </w:r>
      <w:r>
        <w:rPr>
          <w:rFonts w:hint="eastAsia" w:ascii="宋体" w:hAnsi="宋体" w:eastAsia="宋体" w:cs="宋体"/>
          <w:b w:val="0"/>
          <w:bCs w:val="0"/>
          <w:sz w:val="24"/>
          <w:szCs w:val="24"/>
          <w:lang w:eastAsia="zh-CN"/>
        </w:rPr>
        <w:t xml:space="preserve"> </w:t>
      </w:r>
      <w:r>
        <w:rPr>
          <w:rFonts w:hint="eastAsia" w:ascii="宋体" w:hAnsi="宋体" w:cs="宋体"/>
          <w:b w:val="0"/>
          <w:bCs w:val="0"/>
          <w:sz w:val="24"/>
          <w:szCs w:val="24"/>
          <w:lang w:eastAsia="zh-CN"/>
        </w:rPr>
        <w:t>林州市开元街道办事处</w:t>
      </w:r>
      <w:r>
        <w:rPr>
          <w:rFonts w:hint="eastAsia" w:ascii="宋体" w:hAnsi="宋体" w:eastAsia="宋体" w:cs="宋体"/>
          <w:b w:val="0"/>
          <w:bCs w:val="0"/>
          <w:sz w:val="24"/>
          <w:szCs w:val="24"/>
        </w:rPr>
        <w:t>）、代理机构（</w:t>
      </w:r>
      <w:r>
        <w:rPr>
          <w:rFonts w:hint="eastAsia" w:ascii="宋体" w:hAnsi="宋体" w:eastAsia="宋体" w:cs="宋体"/>
          <w:b w:val="0"/>
          <w:bCs w:val="0"/>
          <w:sz w:val="24"/>
          <w:szCs w:val="24"/>
          <w:lang w:eastAsia="zh-CN"/>
        </w:rPr>
        <w:t>河南联达工程管理有限公司</w:t>
      </w:r>
      <w:r>
        <w:rPr>
          <w:rFonts w:hint="eastAsia" w:ascii="宋体" w:hAnsi="宋体" w:eastAsia="宋体" w:cs="宋体"/>
          <w:b w:val="0"/>
          <w:bCs w:val="0"/>
          <w:sz w:val="24"/>
          <w:szCs w:val="24"/>
        </w:rPr>
        <w:t>）提出书面质疑，如对采购人、代理机构的质疑答复不满意，投标人可以在答复期满后15个工作日内向</w:t>
      </w:r>
      <w:r>
        <w:rPr>
          <w:rFonts w:hint="eastAsia" w:ascii="宋体" w:hAnsi="宋体" w:cs="宋体"/>
          <w:b w:val="0"/>
          <w:bCs w:val="0"/>
          <w:sz w:val="24"/>
          <w:szCs w:val="24"/>
          <w:lang w:eastAsia="zh-CN"/>
        </w:rPr>
        <w:t>林州市财政局政府采购监督管理科</w:t>
      </w:r>
      <w:r>
        <w:rPr>
          <w:rFonts w:hint="eastAsia" w:ascii="宋体" w:hAnsi="宋体" w:eastAsia="宋体" w:cs="宋体"/>
          <w:b w:val="0"/>
          <w:bCs w:val="0"/>
          <w:sz w:val="24"/>
          <w:szCs w:val="24"/>
        </w:rPr>
        <w:t>投诉。</w:t>
      </w:r>
      <w:bookmarkEnd w:id="341"/>
      <w:r>
        <w:rPr>
          <w:rFonts w:hint="eastAsia" w:ascii="宋体" w:hAnsi="宋体" w:eastAsia="宋体" w:cs="宋体"/>
          <w:b w:val="0"/>
          <w:bCs w:val="0"/>
          <w:sz w:val="24"/>
          <w:szCs w:val="24"/>
        </w:rPr>
        <w:t>(具体程序按照《中华人民共和国政府采购法》、《中华人民共和国政府采购法实施条例》和《政府采购质疑和投诉办法》的相关规定执行)。</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rPr>
      </w:pPr>
      <w:r>
        <w:rPr>
          <w:rFonts w:hint="eastAsia" w:ascii="宋体" w:hAnsi="宋体" w:eastAsia="宋体" w:cs="宋体"/>
          <w:spacing w:val="-4"/>
          <w:sz w:val="24"/>
          <w:szCs w:val="24"/>
        </w:rPr>
        <w:t>32.2 投标人的质疑和投诉必须以实名书面形式按竞争性磋商文件及有关规定的程序递交，质疑和投诉的内容必须有充分的事实和法律依据，否则磋商采购单位或有关行政监督部门有权利拒绝受理；对于歪曲事实或采用不正当手段恶意质疑和投诉的投标人，磋商采购单位或有关行政监督部门将依法予以处罚，并计入不良记录。</w:t>
      </w:r>
    </w:p>
    <w:p>
      <w:pPr>
        <w:keepNext w:val="0"/>
        <w:keepLines w:val="0"/>
        <w:pageBreakBefore w:val="0"/>
        <w:widowControl w:val="0"/>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33.本竞争性磋商文件最终解释权归采购人。</w:t>
      </w:r>
    </w:p>
    <w:p>
      <w:pPr>
        <w:keepNext w:val="0"/>
        <w:keepLines w:val="0"/>
        <w:pageBreakBefore w:val="0"/>
        <w:widowControl w:val="0"/>
        <w:kinsoku/>
        <w:wordWrap/>
        <w:overflowPunct/>
        <w:topLinePunct w:val="0"/>
        <w:autoSpaceDE/>
        <w:autoSpaceDN/>
        <w:bidi w:val="0"/>
        <w:adjustRightInd/>
        <w:snapToGrid/>
        <w:spacing w:after="0" w:line="312" w:lineRule="auto"/>
        <w:ind w:firstLine="482" w:firstLineChars="200"/>
        <w:textAlignment w:val="auto"/>
        <w:rPr>
          <w:rFonts w:hint="eastAsia" w:ascii="宋体" w:hAnsi="宋体" w:eastAsia="宋体" w:cs="宋体"/>
          <w:b/>
          <w:bCs/>
          <w:sz w:val="24"/>
          <w:szCs w:val="24"/>
        </w:rPr>
      </w:pPr>
      <w:r>
        <w:rPr>
          <w:rFonts w:hint="eastAsia" w:ascii="宋体" w:hAnsi="宋体" w:eastAsia="宋体" w:cs="宋体"/>
          <w:b/>
          <w:bCs/>
          <w:sz w:val="24"/>
          <w:szCs w:val="24"/>
        </w:rPr>
        <w:t>34.联系方式</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lang w:eastAsia="zh-CN"/>
        </w:rPr>
      </w:pPr>
      <w:bookmarkStart w:id="342" w:name="_Toc23171"/>
      <w:bookmarkStart w:id="343" w:name="_Toc30205"/>
      <w:bookmarkStart w:id="344" w:name="_Toc14605"/>
      <w:r>
        <w:rPr>
          <w:rFonts w:hint="eastAsia" w:ascii="宋体" w:hAnsi="宋体" w:eastAsia="宋体" w:cs="宋体"/>
          <w:spacing w:val="-4"/>
          <w:sz w:val="24"/>
          <w:szCs w:val="24"/>
          <w:lang w:eastAsia="zh-CN"/>
        </w:rPr>
        <w:t>1.采购人信息</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名    称：</w:t>
      </w:r>
      <w:r>
        <w:rPr>
          <w:rFonts w:hint="eastAsia" w:ascii="宋体" w:hAnsi="宋体" w:cs="宋体"/>
          <w:spacing w:val="-4"/>
          <w:sz w:val="24"/>
          <w:szCs w:val="24"/>
          <w:lang w:val="en-US" w:eastAsia="zh-CN"/>
        </w:rPr>
        <w:t>林州市开元街道办事处</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统一社会信用代码：</w:t>
      </w:r>
      <w:r>
        <w:rPr>
          <w:rFonts w:hint="eastAsia" w:ascii="宋体" w:hAnsi="宋体" w:cs="宋体"/>
          <w:spacing w:val="-4"/>
          <w:sz w:val="24"/>
          <w:szCs w:val="24"/>
          <w:lang w:val="en-US" w:eastAsia="zh-CN"/>
        </w:rPr>
        <w:t>11410581747405380R</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地    址：林州市兴林路东段3号</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联 系 人：</w:t>
      </w:r>
      <w:r>
        <w:rPr>
          <w:rFonts w:hint="eastAsia" w:ascii="宋体" w:hAnsi="宋体" w:cs="宋体"/>
          <w:spacing w:val="-4"/>
          <w:sz w:val="24"/>
          <w:szCs w:val="24"/>
          <w:lang w:val="en-US" w:eastAsia="zh-CN"/>
        </w:rPr>
        <w:t>牛泳昌</w:t>
      </w:r>
      <w:r>
        <w:rPr>
          <w:rFonts w:hint="eastAsia" w:ascii="宋体" w:hAnsi="宋体" w:eastAsia="宋体" w:cs="宋体"/>
          <w:spacing w:val="-4"/>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val="en-US" w:eastAsia="zh-CN"/>
        </w:rPr>
        <w:t>联系方式：</w:t>
      </w:r>
      <w:r>
        <w:rPr>
          <w:rFonts w:hint="eastAsia" w:ascii="宋体" w:hAnsi="宋体" w:cs="宋体"/>
          <w:spacing w:val="-4"/>
          <w:sz w:val="24"/>
          <w:szCs w:val="24"/>
          <w:lang w:val="en-US" w:eastAsia="zh-CN"/>
        </w:rPr>
        <w:t xml:space="preserve">13513830709 </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2.采购代理机构信息</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名    称：河南联达工程管理有限公司</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统一社会信用代码：</w:t>
      </w:r>
      <w:r>
        <w:rPr>
          <w:rFonts w:hint="eastAsia" w:ascii="宋体" w:hAnsi="宋体" w:eastAsia="宋体" w:cs="宋体"/>
          <w:spacing w:val="-4"/>
          <w:sz w:val="24"/>
          <w:szCs w:val="24"/>
          <w:lang w:val="en-US" w:eastAsia="zh-CN"/>
        </w:rPr>
        <w:t>91410100729617697X</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地　　址：</w:t>
      </w:r>
      <w:r>
        <w:rPr>
          <w:rFonts w:hint="eastAsia" w:ascii="宋体" w:hAnsi="宋体" w:eastAsia="宋体" w:cs="宋体"/>
          <w:spacing w:val="-4"/>
          <w:sz w:val="24"/>
          <w:szCs w:val="24"/>
          <w:lang w:val="en-US" w:eastAsia="zh-CN"/>
        </w:rPr>
        <w:t>林州市京林理想城1号楼1单元501</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联 系 人：</w:t>
      </w:r>
      <w:r>
        <w:rPr>
          <w:rFonts w:hint="eastAsia" w:ascii="宋体" w:hAnsi="宋体" w:eastAsia="宋体" w:cs="宋体"/>
          <w:spacing w:val="-4"/>
          <w:sz w:val="24"/>
          <w:szCs w:val="24"/>
          <w:lang w:val="en-US" w:eastAsia="zh-CN"/>
        </w:rPr>
        <w:t>李俊涛</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lang w:val="en-US" w:eastAsia="zh-CN"/>
        </w:rPr>
      </w:pPr>
      <w:r>
        <w:rPr>
          <w:rFonts w:hint="eastAsia" w:ascii="宋体" w:hAnsi="宋体" w:eastAsia="宋体" w:cs="宋体"/>
          <w:spacing w:val="-4"/>
          <w:sz w:val="24"/>
          <w:szCs w:val="24"/>
          <w:lang w:eastAsia="zh-CN"/>
        </w:rPr>
        <w:t>联系方式：</w:t>
      </w:r>
      <w:r>
        <w:rPr>
          <w:rFonts w:hint="eastAsia" w:ascii="宋体" w:hAnsi="宋体" w:eastAsia="宋体" w:cs="宋体"/>
          <w:spacing w:val="-4"/>
          <w:sz w:val="24"/>
          <w:szCs w:val="24"/>
          <w:lang w:val="en-US" w:eastAsia="zh-CN"/>
        </w:rPr>
        <w:t>13526110202</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3.项目联系方式</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联</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lang w:eastAsia="zh-CN"/>
        </w:rPr>
        <w:t>系</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lang w:eastAsia="zh-CN"/>
        </w:rPr>
        <w:t>人：</w:t>
      </w:r>
      <w:r>
        <w:rPr>
          <w:rFonts w:hint="eastAsia" w:ascii="宋体" w:hAnsi="宋体" w:cs="宋体"/>
          <w:spacing w:val="-4"/>
          <w:sz w:val="24"/>
          <w:szCs w:val="24"/>
          <w:lang w:val="en-US" w:eastAsia="zh-CN"/>
        </w:rPr>
        <w:t>牛泳昌</w:t>
      </w:r>
    </w:p>
    <w:p>
      <w:pPr>
        <w:keepNext w:val="0"/>
        <w:keepLines w:val="0"/>
        <w:pageBreakBefore w:val="0"/>
        <w:widowControl w:val="0"/>
        <w:kinsoku/>
        <w:wordWrap/>
        <w:overflowPunct/>
        <w:topLinePunct w:val="0"/>
        <w:autoSpaceDE/>
        <w:autoSpaceDN/>
        <w:bidi w:val="0"/>
        <w:adjustRightInd/>
        <w:snapToGrid/>
        <w:spacing w:after="0" w:line="312" w:lineRule="auto"/>
        <w:ind w:firstLine="464" w:firstLineChars="200"/>
        <w:textAlignment w:val="auto"/>
        <w:rPr>
          <w:rFonts w:hint="eastAsia" w:ascii="宋体" w:hAnsi="宋体" w:eastAsia="宋体" w:cs="宋体"/>
          <w:spacing w:val="-4"/>
          <w:sz w:val="24"/>
          <w:szCs w:val="24"/>
          <w:lang w:eastAsia="zh-CN"/>
        </w:rPr>
      </w:pPr>
      <w:r>
        <w:rPr>
          <w:rFonts w:hint="eastAsia" w:ascii="宋体" w:hAnsi="宋体" w:eastAsia="宋体" w:cs="宋体"/>
          <w:spacing w:val="-4"/>
          <w:sz w:val="24"/>
          <w:szCs w:val="24"/>
          <w:lang w:eastAsia="zh-CN"/>
        </w:rPr>
        <w:t xml:space="preserve">电 </w:t>
      </w:r>
      <w:r>
        <w:rPr>
          <w:rFonts w:hint="eastAsia" w:ascii="宋体" w:hAnsi="宋体" w:eastAsia="宋体" w:cs="宋体"/>
          <w:spacing w:val="-4"/>
          <w:sz w:val="24"/>
          <w:szCs w:val="24"/>
          <w:lang w:val="en-US" w:eastAsia="zh-CN"/>
        </w:rPr>
        <w:t xml:space="preserve">   </w:t>
      </w:r>
      <w:r>
        <w:rPr>
          <w:rFonts w:hint="eastAsia" w:ascii="宋体" w:hAnsi="宋体" w:eastAsia="宋体" w:cs="宋体"/>
          <w:spacing w:val="-4"/>
          <w:sz w:val="24"/>
          <w:szCs w:val="24"/>
          <w:lang w:eastAsia="zh-CN"/>
        </w:rPr>
        <w:t>话：</w:t>
      </w:r>
      <w:r>
        <w:rPr>
          <w:rFonts w:hint="eastAsia" w:ascii="宋体" w:hAnsi="宋体" w:cs="宋体"/>
          <w:spacing w:val="-4"/>
          <w:sz w:val="24"/>
          <w:szCs w:val="24"/>
          <w:lang w:val="en-US" w:eastAsia="zh-CN"/>
        </w:rPr>
        <w:t xml:space="preserve">13513830709 </w:t>
      </w:r>
    </w:p>
    <w:p>
      <w:pPr>
        <w:keepNext w:val="0"/>
        <w:keepLines w:val="0"/>
        <w:pageBreakBefore w:val="0"/>
        <w:widowControl w:val="0"/>
        <w:kinsoku/>
        <w:wordWrap/>
        <w:overflowPunct/>
        <w:topLinePunct w:val="0"/>
        <w:autoSpaceDE/>
        <w:autoSpaceDN/>
        <w:bidi w:val="0"/>
        <w:adjustRightInd/>
        <w:snapToGrid/>
        <w:spacing w:before="80" w:beforeAutospacing="0" w:after="80" w:afterAutospacing="0" w:line="312" w:lineRule="auto"/>
        <w:ind w:left="0" w:leftChars="0" w:firstLine="480" w:firstLineChars="200"/>
        <w:jc w:val="left"/>
        <w:textAlignment w:val="auto"/>
        <w:outlineLvl w:val="9"/>
        <w:rPr>
          <w:rFonts w:hint="eastAsia" w:ascii="宋体" w:hAnsi="宋体" w:eastAsia="宋体" w:cs="宋体"/>
          <w:bCs/>
          <w:color w:val="auto"/>
          <w:sz w:val="24"/>
          <w:szCs w:val="24"/>
          <w:lang w:eastAsia="zh-CN"/>
        </w:rPr>
        <w:sectPr>
          <w:headerReference r:id="rId8" w:type="default"/>
          <w:footerReference r:id="rId9" w:type="default"/>
          <w:pgSz w:w="11906" w:h="16838"/>
          <w:pgMar w:top="1247" w:right="1304" w:bottom="1247" w:left="1304" w:header="680" w:footer="680" w:gutter="0"/>
          <w:pgBorders>
            <w:top w:val="none" w:sz="0" w:space="0"/>
            <w:left w:val="none" w:sz="0" w:space="0"/>
            <w:bottom w:val="none" w:sz="0" w:space="0"/>
            <w:right w:val="none" w:sz="0" w:space="0"/>
          </w:pgBorders>
          <w:pgNumType w:fmt="decimal"/>
          <w:cols w:space="0" w:num="1"/>
          <w:docGrid w:linePitch="312" w:charSpace="0"/>
        </w:sectPr>
      </w:pPr>
    </w:p>
    <w:p>
      <w:pPr>
        <w:keepNext w:val="0"/>
        <w:keepLines w:val="0"/>
        <w:pageBreakBefore/>
        <w:widowControl w:val="0"/>
        <w:kinsoku/>
        <w:wordWrap/>
        <w:overflowPunct/>
        <w:topLinePunct w:val="0"/>
        <w:autoSpaceDE/>
        <w:autoSpaceDN/>
        <w:bidi w:val="0"/>
        <w:adjustRightInd/>
        <w:snapToGrid/>
        <w:spacing w:after="0" w:line="240" w:lineRule="auto"/>
        <w:ind w:left="0" w:leftChars="0" w:firstLine="0" w:firstLineChars="0"/>
        <w:jc w:val="center"/>
        <w:textAlignment w:val="auto"/>
        <w:outlineLvl w:val="0"/>
        <w:rPr>
          <w:rFonts w:hint="eastAsia" w:ascii="宋体" w:hAnsi="宋体" w:eastAsia="宋体" w:cs="宋体"/>
          <w:b/>
          <w:bCs/>
          <w:sz w:val="44"/>
          <w:szCs w:val="44"/>
        </w:rPr>
      </w:pPr>
      <w:r>
        <w:rPr>
          <w:rFonts w:hint="eastAsia" w:ascii="宋体" w:hAnsi="宋体" w:eastAsia="宋体" w:cs="宋体"/>
          <w:b/>
          <w:bCs/>
          <w:sz w:val="44"/>
          <w:szCs w:val="44"/>
        </w:rPr>
        <w:t>第三章  工程量清单</w:t>
      </w:r>
      <w:bookmarkEnd w:id="342"/>
      <w:bookmarkEnd w:id="343"/>
      <w:bookmarkEnd w:id="344"/>
    </w:p>
    <w:p>
      <w:pPr>
        <w:spacing w:line="360" w:lineRule="auto"/>
        <w:ind w:firstLine="480" w:firstLineChars="200"/>
        <w:outlineLvl w:val="9"/>
        <w:rPr>
          <w:rFonts w:hint="eastAsia" w:ascii="宋体" w:hAnsi="宋体" w:eastAsia="宋体" w:cs="宋体"/>
          <w:sz w:val="24"/>
          <w:szCs w:val="24"/>
        </w:rPr>
      </w:pPr>
      <w:bookmarkStart w:id="345" w:name="_Toc470076981"/>
    </w:p>
    <w:p>
      <w:pPr>
        <w:spacing w:line="360" w:lineRule="auto"/>
        <w:ind w:firstLine="480" w:firstLineChars="200"/>
        <w:outlineLvl w:val="9"/>
        <w:rPr>
          <w:rFonts w:hint="eastAsia" w:ascii="宋体" w:hAnsi="宋体" w:eastAsia="宋体" w:cs="宋体"/>
          <w:sz w:val="24"/>
          <w:szCs w:val="24"/>
        </w:rPr>
      </w:pPr>
    </w:p>
    <w:bookmarkEnd w:id="345"/>
    <w:p>
      <w:pPr>
        <w:rPr>
          <w:rFonts w:hint="eastAsia" w:eastAsiaTheme="minorEastAsia"/>
          <w:lang w:eastAsia="zh-CN"/>
        </w:rPr>
      </w:pPr>
      <w:bookmarkStart w:id="346" w:name="_Toc11683"/>
      <w:bookmarkStart w:id="347" w:name="_Toc15296"/>
    </w:p>
    <w:p>
      <w:pPr>
        <w:pageBreakBefore/>
        <w:widowControl/>
        <w:spacing w:before="156" w:beforeLines="50" w:after="312" w:afterLines="100"/>
        <w:jc w:val="center"/>
        <w:outlineLvl w:val="0"/>
        <w:rPr>
          <w:rFonts w:hint="eastAsia" w:ascii="宋体" w:hAnsi="宋体" w:eastAsia="宋体" w:cs="宋体"/>
          <w:b/>
          <w:bCs/>
          <w:sz w:val="44"/>
          <w:szCs w:val="44"/>
          <w:lang w:eastAsia="zh-CN"/>
        </w:rPr>
      </w:pPr>
      <w:bookmarkStart w:id="348" w:name="_Toc12824"/>
      <w:r>
        <w:rPr>
          <w:rFonts w:hint="eastAsia" w:ascii="宋体" w:hAnsi="宋体" w:eastAsia="宋体" w:cs="宋体"/>
          <w:b/>
          <w:bCs/>
          <w:sz w:val="44"/>
          <w:szCs w:val="44"/>
          <w:lang w:eastAsia="zh-CN"/>
        </w:rPr>
        <w:drawing>
          <wp:inline distT="0" distB="0" distL="114300" distR="114300">
            <wp:extent cx="5900420" cy="8326755"/>
            <wp:effectExtent l="0" t="0" r="5080" b="17145"/>
            <wp:docPr id="13" name="图片 13" descr="2024年林州市开元街道田西峪村村组道路项目招标控制价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2024年林州市开元街道田西峪村村组道路项目招标控制价_00"/>
                    <pic:cNvPicPr>
                      <a:picLocks noChangeAspect="1"/>
                    </pic:cNvPicPr>
                  </pic:nvPicPr>
                  <pic:blipFill>
                    <a:blip r:embed="rId13"/>
                    <a:stretch>
                      <a:fillRect/>
                    </a:stretch>
                  </pic:blipFill>
                  <pic:spPr>
                    <a:xfrm>
                      <a:off x="0" y="0"/>
                      <a:ext cx="5900420" cy="8326755"/>
                    </a:xfrm>
                    <a:prstGeom prst="rect">
                      <a:avLst/>
                    </a:prstGeom>
                  </pic:spPr>
                </pic:pic>
              </a:graphicData>
            </a:graphic>
          </wp:inline>
        </w:drawing>
      </w:r>
      <w:r>
        <w:rPr>
          <w:rFonts w:hint="eastAsia" w:ascii="宋体" w:hAnsi="宋体" w:eastAsia="宋体" w:cs="宋体"/>
          <w:b/>
          <w:bCs/>
          <w:sz w:val="44"/>
          <w:szCs w:val="44"/>
          <w:lang w:eastAsia="zh-CN"/>
        </w:rPr>
        <w:drawing>
          <wp:inline distT="0" distB="0" distL="114300" distR="114300">
            <wp:extent cx="5900420" cy="8326755"/>
            <wp:effectExtent l="0" t="0" r="5080" b="17145"/>
            <wp:docPr id="12" name="图片 12" descr="2024年林州市开元街道田西峪村村组道路项目招标控制价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2024年林州市开元街道田西峪村村组道路项目招标控制价_01"/>
                    <pic:cNvPicPr>
                      <a:picLocks noChangeAspect="1"/>
                    </pic:cNvPicPr>
                  </pic:nvPicPr>
                  <pic:blipFill>
                    <a:blip r:embed="rId14"/>
                    <a:stretch>
                      <a:fillRect/>
                    </a:stretch>
                  </pic:blipFill>
                  <pic:spPr>
                    <a:xfrm>
                      <a:off x="0" y="0"/>
                      <a:ext cx="5900420" cy="8326755"/>
                    </a:xfrm>
                    <a:prstGeom prst="rect">
                      <a:avLst/>
                    </a:prstGeom>
                  </pic:spPr>
                </pic:pic>
              </a:graphicData>
            </a:graphic>
          </wp:inline>
        </w:drawing>
      </w:r>
      <w:r>
        <w:rPr>
          <w:rFonts w:hint="eastAsia" w:ascii="宋体" w:hAnsi="宋体" w:eastAsia="宋体" w:cs="宋体"/>
          <w:b/>
          <w:bCs/>
          <w:sz w:val="44"/>
          <w:szCs w:val="44"/>
          <w:lang w:eastAsia="zh-CN"/>
        </w:rPr>
        <w:drawing>
          <wp:inline distT="0" distB="0" distL="114300" distR="114300">
            <wp:extent cx="5900420" cy="8326755"/>
            <wp:effectExtent l="0" t="0" r="5080" b="17145"/>
            <wp:docPr id="10" name="图片 10" descr="2024年林州市开元街道田西峪村村组道路项目招标控制价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2024年林州市开元街道田西峪村村组道路项目招标控制价_02"/>
                    <pic:cNvPicPr>
                      <a:picLocks noChangeAspect="1"/>
                    </pic:cNvPicPr>
                  </pic:nvPicPr>
                  <pic:blipFill>
                    <a:blip r:embed="rId15"/>
                    <a:stretch>
                      <a:fillRect/>
                    </a:stretch>
                  </pic:blipFill>
                  <pic:spPr>
                    <a:xfrm>
                      <a:off x="0" y="0"/>
                      <a:ext cx="5900420" cy="8326755"/>
                    </a:xfrm>
                    <a:prstGeom prst="rect">
                      <a:avLst/>
                    </a:prstGeom>
                  </pic:spPr>
                </pic:pic>
              </a:graphicData>
            </a:graphic>
          </wp:inline>
        </w:drawing>
      </w:r>
      <w:r>
        <w:rPr>
          <w:rFonts w:hint="eastAsia" w:ascii="宋体" w:hAnsi="宋体" w:eastAsia="宋体" w:cs="宋体"/>
          <w:b/>
          <w:bCs/>
          <w:sz w:val="44"/>
          <w:szCs w:val="44"/>
          <w:lang w:eastAsia="zh-CN"/>
        </w:rPr>
        <w:drawing>
          <wp:inline distT="0" distB="0" distL="114300" distR="114300">
            <wp:extent cx="5900420" cy="8326755"/>
            <wp:effectExtent l="0" t="0" r="5080" b="17145"/>
            <wp:docPr id="9" name="图片 9" descr="2024年林州市开元街道田西峪村村组道路项目招标控制价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024年林州市开元街道田西峪村村组道路项目招标控制价_03"/>
                    <pic:cNvPicPr>
                      <a:picLocks noChangeAspect="1"/>
                    </pic:cNvPicPr>
                  </pic:nvPicPr>
                  <pic:blipFill>
                    <a:blip r:embed="rId16"/>
                    <a:stretch>
                      <a:fillRect/>
                    </a:stretch>
                  </pic:blipFill>
                  <pic:spPr>
                    <a:xfrm>
                      <a:off x="0" y="0"/>
                      <a:ext cx="5900420" cy="8326755"/>
                    </a:xfrm>
                    <a:prstGeom prst="rect">
                      <a:avLst/>
                    </a:prstGeom>
                  </pic:spPr>
                </pic:pic>
              </a:graphicData>
            </a:graphic>
          </wp:inline>
        </w:drawing>
      </w:r>
      <w:r>
        <w:rPr>
          <w:rFonts w:hint="eastAsia" w:ascii="宋体" w:hAnsi="宋体" w:eastAsia="宋体" w:cs="宋体"/>
          <w:b/>
          <w:bCs/>
          <w:sz w:val="44"/>
          <w:szCs w:val="44"/>
          <w:lang w:eastAsia="zh-CN"/>
        </w:rPr>
        <w:drawing>
          <wp:inline distT="0" distB="0" distL="114300" distR="114300">
            <wp:extent cx="5900420" cy="8326755"/>
            <wp:effectExtent l="0" t="0" r="5080" b="17145"/>
            <wp:docPr id="8" name="图片 8" descr="2024年林州市开元街道田西峪村村组道路项目招标控制价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024年林州市开元街道田西峪村村组道路项目招标控制价_04"/>
                    <pic:cNvPicPr>
                      <a:picLocks noChangeAspect="1"/>
                    </pic:cNvPicPr>
                  </pic:nvPicPr>
                  <pic:blipFill>
                    <a:blip r:embed="rId17"/>
                    <a:stretch>
                      <a:fillRect/>
                    </a:stretch>
                  </pic:blipFill>
                  <pic:spPr>
                    <a:xfrm>
                      <a:off x="0" y="0"/>
                      <a:ext cx="5900420" cy="8326755"/>
                    </a:xfrm>
                    <a:prstGeom prst="rect">
                      <a:avLst/>
                    </a:prstGeom>
                  </pic:spPr>
                </pic:pic>
              </a:graphicData>
            </a:graphic>
          </wp:inline>
        </w:drawing>
      </w:r>
      <w:r>
        <w:rPr>
          <w:rFonts w:hint="eastAsia" w:ascii="宋体" w:hAnsi="宋体" w:eastAsia="宋体" w:cs="宋体"/>
          <w:b/>
          <w:bCs/>
          <w:sz w:val="44"/>
          <w:szCs w:val="44"/>
          <w:lang w:eastAsia="zh-CN"/>
        </w:rPr>
        <w:drawing>
          <wp:inline distT="0" distB="0" distL="114300" distR="114300">
            <wp:extent cx="5900420" cy="8326755"/>
            <wp:effectExtent l="0" t="0" r="5080" b="17145"/>
            <wp:docPr id="7" name="图片 7" descr="2024年林州市开元街道田西峪村村组道路项目招标控制价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024年林州市开元街道田西峪村村组道路项目招标控制价_05"/>
                    <pic:cNvPicPr>
                      <a:picLocks noChangeAspect="1"/>
                    </pic:cNvPicPr>
                  </pic:nvPicPr>
                  <pic:blipFill>
                    <a:blip r:embed="rId18"/>
                    <a:stretch>
                      <a:fillRect/>
                    </a:stretch>
                  </pic:blipFill>
                  <pic:spPr>
                    <a:xfrm>
                      <a:off x="0" y="0"/>
                      <a:ext cx="5900420" cy="8326755"/>
                    </a:xfrm>
                    <a:prstGeom prst="rect">
                      <a:avLst/>
                    </a:prstGeom>
                  </pic:spPr>
                </pic:pic>
              </a:graphicData>
            </a:graphic>
          </wp:inline>
        </w:drawing>
      </w:r>
      <w:r>
        <w:rPr>
          <w:rFonts w:hint="eastAsia" w:ascii="宋体" w:hAnsi="宋体" w:eastAsia="宋体" w:cs="宋体"/>
          <w:b/>
          <w:bCs/>
          <w:sz w:val="44"/>
          <w:szCs w:val="44"/>
          <w:lang w:eastAsia="zh-CN"/>
        </w:rPr>
        <w:drawing>
          <wp:inline distT="0" distB="0" distL="114300" distR="114300">
            <wp:extent cx="5900420" cy="8326755"/>
            <wp:effectExtent l="0" t="0" r="5080" b="17145"/>
            <wp:docPr id="6" name="图片 6" descr="2024年林州市开元街道田西峪村村组道路项目招标控制价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024年林州市开元街道田西峪村村组道路项目招标控制价_06"/>
                    <pic:cNvPicPr>
                      <a:picLocks noChangeAspect="1"/>
                    </pic:cNvPicPr>
                  </pic:nvPicPr>
                  <pic:blipFill>
                    <a:blip r:embed="rId19"/>
                    <a:stretch>
                      <a:fillRect/>
                    </a:stretch>
                  </pic:blipFill>
                  <pic:spPr>
                    <a:xfrm>
                      <a:off x="0" y="0"/>
                      <a:ext cx="5900420" cy="8326755"/>
                    </a:xfrm>
                    <a:prstGeom prst="rect">
                      <a:avLst/>
                    </a:prstGeom>
                  </pic:spPr>
                </pic:pic>
              </a:graphicData>
            </a:graphic>
          </wp:inline>
        </w:drawing>
      </w:r>
      <w:r>
        <w:rPr>
          <w:rFonts w:hint="eastAsia" w:ascii="宋体" w:hAnsi="宋体" w:eastAsia="宋体" w:cs="宋体"/>
          <w:b/>
          <w:bCs/>
          <w:sz w:val="44"/>
          <w:szCs w:val="44"/>
          <w:lang w:eastAsia="zh-CN"/>
        </w:rPr>
        <w:drawing>
          <wp:inline distT="0" distB="0" distL="114300" distR="114300">
            <wp:extent cx="5900420" cy="8326755"/>
            <wp:effectExtent l="0" t="0" r="5080" b="17145"/>
            <wp:docPr id="5" name="图片 5" descr="2024年林州市开元街道田西峪村村组道路项目招标控制价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2024年林州市开元街道田西峪村村组道路项目招标控制价_07"/>
                    <pic:cNvPicPr>
                      <a:picLocks noChangeAspect="1"/>
                    </pic:cNvPicPr>
                  </pic:nvPicPr>
                  <pic:blipFill>
                    <a:blip r:embed="rId20"/>
                    <a:stretch>
                      <a:fillRect/>
                    </a:stretch>
                  </pic:blipFill>
                  <pic:spPr>
                    <a:xfrm>
                      <a:off x="0" y="0"/>
                      <a:ext cx="5900420" cy="8326755"/>
                    </a:xfrm>
                    <a:prstGeom prst="rect">
                      <a:avLst/>
                    </a:prstGeom>
                  </pic:spPr>
                </pic:pic>
              </a:graphicData>
            </a:graphic>
          </wp:inline>
        </w:drawing>
      </w:r>
      <w:r>
        <w:rPr>
          <w:rFonts w:hint="eastAsia" w:ascii="宋体" w:hAnsi="宋体" w:eastAsia="宋体" w:cs="宋体"/>
          <w:b/>
          <w:bCs/>
          <w:sz w:val="44"/>
          <w:szCs w:val="44"/>
          <w:lang w:eastAsia="zh-CN"/>
        </w:rPr>
        <w:drawing>
          <wp:inline distT="0" distB="0" distL="114300" distR="114300">
            <wp:extent cx="5900420" cy="8326755"/>
            <wp:effectExtent l="0" t="0" r="5080" b="17145"/>
            <wp:docPr id="4" name="图片 4" descr="2024年林州市开元街道田西峪村村组道路项目招标控制价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024年林州市开元街道田西峪村村组道路项目招标控制价_08"/>
                    <pic:cNvPicPr>
                      <a:picLocks noChangeAspect="1"/>
                    </pic:cNvPicPr>
                  </pic:nvPicPr>
                  <pic:blipFill>
                    <a:blip r:embed="rId21"/>
                    <a:stretch>
                      <a:fillRect/>
                    </a:stretch>
                  </pic:blipFill>
                  <pic:spPr>
                    <a:xfrm>
                      <a:off x="0" y="0"/>
                      <a:ext cx="5900420" cy="8326755"/>
                    </a:xfrm>
                    <a:prstGeom prst="rect">
                      <a:avLst/>
                    </a:prstGeom>
                  </pic:spPr>
                </pic:pic>
              </a:graphicData>
            </a:graphic>
          </wp:inline>
        </w:drawing>
      </w:r>
      <w:r>
        <w:rPr>
          <w:rFonts w:hint="eastAsia" w:ascii="宋体" w:hAnsi="宋体" w:eastAsia="宋体" w:cs="宋体"/>
          <w:b/>
          <w:bCs/>
          <w:sz w:val="44"/>
          <w:szCs w:val="44"/>
          <w:lang w:eastAsia="zh-CN"/>
        </w:rPr>
        <w:drawing>
          <wp:inline distT="0" distB="0" distL="114300" distR="114300">
            <wp:extent cx="5900420" cy="8326755"/>
            <wp:effectExtent l="0" t="0" r="5080" b="17145"/>
            <wp:docPr id="3" name="图片 3" descr="2024年林州市开元街道田西峪村村组道路项目招标控制价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24年林州市开元街道田西峪村村组道路项目招标控制价_09"/>
                    <pic:cNvPicPr>
                      <a:picLocks noChangeAspect="1"/>
                    </pic:cNvPicPr>
                  </pic:nvPicPr>
                  <pic:blipFill>
                    <a:blip r:embed="rId22"/>
                    <a:stretch>
                      <a:fillRect/>
                    </a:stretch>
                  </pic:blipFill>
                  <pic:spPr>
                    <a:xfrm>
                      <a:off x="0" y="0"/>
                      <a:ext cx="5900420" cy="8326755"/>
                    </a:xfrm>
                    <a:prstGeom prst="rect">
                      <a:avLst/>
                    </a:prstGeom>
                  </pic:spPr>
                </pic:pic>
              </a:graphicData>
            </a:graphic>
          </wp:inline>
        </w:drawing>
      </w:r>
      <w:r>
        <w:rPr>
          <w:rFonts w:hint="eastAsia" w:ascii="宋体" w:hAnsi="宋体" w:eastAsia="宋体" w:cs="宋体"/>
          <w:b/>
          <w:bCs/>
          <w:sz w:val="44"/>
          <w:szCs w:val="44"/>
          <w:lang w:eastAsia="zh-CN"/>
        </w:rPr>
        <w:drawing>
          <wp:inline distT="0" distB="0" distL="114300" distR="114300">
            <wp:extent cx="5900420" cy="8326755"/>
            <wp:effectExtent l="0" t="0" r="5080" b="17145"/>
            <wp:docPr id="2" name="图片 2" descr="2024年林州市开元街道田西峪村村组道路项目招标控制价_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2024年林州市开元街道田西峪村村组道路项目招标控制价_10"/>
                    <pic:cNvPicPr>
                      <a:picLocks noChangeAspect="1"/>
                    </pic:cNvPicPr>
                  </pic:nvPicPr>
                  <pic:blipFill>
                    <a:blip r:embed="rId23"/>
                    <a:stretch>
                      <a:fillRect/>
                    </a:stretch>
                  </pic:blipFill>
                  <pic:spPr>
                    <a:xfrm>
                      <a:off x="0" y="0"/>
                      <a:ext cx="5900420" cy="8326755"/>
                    </a:xfrm>
                    <a:prstGeom prst="rect">
                      <a:avLst/>
                    </a:prstGeom>
                  </pic:spPr>
                </pic:pic>
              </a:graphicData>
            </a:graphic>
          </wp:inline>
        </w:drawing>
      </w:r>
      <w:r>
        <w:rPr>
          <w:rFonts w:hint="eastAsia" w:ascii="宋体" w:hAnsi="宋体" w:eastAsia="宋体" w:cs="宋体"/>
          <w:b/>
          <w:bCs/>
          <w:sz w:val="44"/>
          <w:szCs w:val="44"/>
          <w:lang w:eastAsia="zh-CN"/>
        </w:rPr>
        <w:drawing>
          <wp:inline distT="0" distB="0" distL="114300" distR="114300">
            <wp:extent cx="5900420" cy="8326755"/>
            <wp:effectExtent l="0" t="0" r="5080" b="17145"/>
            <wp:docPr id="1" name="图片 1" descr="2024年林州市开元街道田西峪村村组道路项目招标控制价_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2024年林州市开元街道田西峪村村组道路项目招标控制价_11"/>
                    <pic:cNvPicPr>
                      <a:picLocks noChangeAspect="1"/>
                    </pic:cNvPicPr>
                  </pic:nvPicPr>
                  <pic:blipFill>
                    <a:blip r:embed="rId24"/>
                    <a:stretch>
                      <a:fillRect/>
                    </a:stretch>
                  </pic:blipFill>
                  <pic:spPr>
                    <a:xfrm>
                      <a:off x="0" y="0"/>
                      <a:ext cx="5900420" cy="8326755"/>
                    </a:xfrm>
                    <a:prstGeom prst="rect">
                      <a:avLst/>
                    </a:prstGeom>
                  </pic:spPr>
                </pic:pic>
              </a:graphicData>
            </a:graphic>
          </wp:inline>
        </w:drawing>
      </w:r>
    </w:p>
    <w:p>
      <w:pPr>
        <w:pageBreakBefore/>
        <w:widowControl/>
        <w:spacing w:before="156" w:beforeLines="50" w:after="312" w:afterLines="100"/>
        <w:jc w:val="center"/>
        <w:outlineLvl w:val="0"/>
        <w:rPr>
          <w:rFonts w:hint="eastAsia" w:ascii="宋体" w:hAnsi="宋体" w:eastAsia="宋体" w:cs="宋体"/>
          <w:b/>
          <w:bCs/>
          <w:sz w:val="44"/>
          <w:szCs w:val="44"/>
        </w:rPr>
      </w:pPr>
      <w:r>
        <w:rPr>
          <w:rFonts w:hint="eastAsia" w:ascii="宋体" w:hAnsi="宋体" w:eastAsia="宋体" w:cs="宋体"/>
          <w:b/>
          <w:bCs/>
          <w:sz w:val="44"/>
          <w:szCs w:val="44"/>
        </w:rPr>
        <w:t>第四章 合同主要条款（仅供参考）</w:t>
      </w:r>
      <w:bookmarkEnd w:id="346"/>
      <w:bookmarkEnd w:id="347"/>
      <w:bookmarkEnd w:id="348"/>
    </w:p>
    <w:p>
      <w:pPr>
        <w:autoSpaceDE w:val="0"/>
        <w:autoSpaceDN w:val="0"/>
        <w:adjustRightInd w:val="0"/>
        <w:spacing w:line="420" w:lineRule="exact"/>
        <w:jc w:val="center"/>
        <w:outlineLvl w:val="9"/>
        <w:rPr>
          <w:rFonts w:hint="eastAsia" w:ascii="宋体" w:hAnsi="宋体" w:eastAsia="宋体" w:cs="宋体"/>
          <w:b/>
          <w:sz w:val="18"/>
          <w:szCs w:val="18"/>
        </w:rPr>
      </w:pPr>
      <w:r>
        <w:rPr>
          <w:rFonts w:hint="eastAsia" w:ascii="宋体" w:hAnsi="宋体" w:eastAsia="宋体" w:cs="宋体"/>
          <w:sz w:val="18"/>
          <w:szCs w:val="18"/>
        </w:rPr>
        <w:t>第一部分 合同协议书</w:t>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b/>
          <w:sz w:val="18"/>
          <w:szCs w:val="18"/>
          <w:u w:val="single"/>
        </w:rPr>
      </w:pPr>
      <w:r>
        <w:rPr>
          <w:rFonts w:hint="eastAsia" w:ascii="宋体" w:hAnsi="宋体" w:eastAsia="宋体" w:cs="宋体"/>
          <w:b/>
          <w:sz w:val="18"/>
          <w:szCs w:val="18"/>
        </w:rPr>
        <w:t>发包人（全称）：</w:t>
      </w:r>
      <w:r>
        <w:rPr>
          <w:rFonts w:hint="eastAsia" w:ascii="宋体" w:hAnsi="宋体" w:eastAsia="宋体" w:cs="宋体"/>
          <w:b/>
          <w:sz w:val="18"/>
          <w:szCs w:val="18"/>
          <w:u w:val="single"/>
        </w:rPr>
        <w:sym w:font="宋体" w:char="E5E5"/>
      </w:r>
      <w:r>
        <w:rPr>
          <w:rFonts w:hint="eastAsia" w:ascii="宋体" w:hAnsi="宋体" w:eastAsia="宋体" w:cs="宋体"/>
          <w:b/>
          <w:sz w:val="18"/>
          <w:szCs w:val="18"/>
          <w:u w:val="single"/>
        </w:rPr>
        <w:sym w:font="宋体" w:char="E5E5"/>
      </w:r>
      <w:r>
        <w:rPr>
          <w:rFonts w:hint="eastAsia" w:ascii="宋体" w:hAnsi="宋体" w:eastAsia="宋体" w:cs="宋体"/>
          <w:b/>
          <w:sz w:val="18"/>
          <w:szCs w:val="18"/>
          <w:u w:val="single"/>
        </w:rPr>
        <w:sym w:font="宋体" w:char="E5E5"/>
      </w:r>
      <w:r>
        <w:rPr>
          <w:rFonts w:hint="eastAsia" w:ascii="宋体" w:hAnsi="宋体" w:eastAsia="宋体" w:cs="宋体"/>
          <w:b/>
          <w:sz w:val="18"/>
          <w:szCs w:val="18"/>
          <w:u w:val="single"/>
        </w:rPr>
        <w:sym w:font="宋体" w:char="E5E5"/>
      </w:r>
      <w:r>
        <w:rPr>
          <w:rFonts w:hint="eastAsia" w:ascii="宋体" w:hAnsi="宋体" w:eastAsia="宋体" w:cs="宋体"/>
          <w:b/>
          <w:sz w:val="18"/>
          <w:szCs w:val="18"/>
          <w:u w:val="single"/>
        </w:rPr>
        <w:t xml:space="preserve">                     </w:t>
      </w:r>
      <w:r>
        <w:rPr>
          <w:rFonts w:hint="eastAsia" w:ascii="宋体" w:hAnsi="宋体" w:eastAsia="宋体" w:cs="宋体"/>
          <w:b/>
          <w:sz w:val="18"/>
          <w:szCs w:val="18"/>
          <w:u w:val="single"/>
        </w:rPr>
        <w:sym w:font="宋体" w:char="E5E5"/>
      </w:r>
      <w:r>
        <w:rPr>
          <w:rFonts w:hint="eastAsia" w:ascii="宋体" w:hAnsi="宋体" w:eastAsia="宋体" w:cs="宋体"/>
          <w:b/>
          <w:sz w:val="18"/>
          <w:szCs w:val="18"/>
          <w:u w:val="single"/>
        </w:rPr>
        <w:t xml:space="preserve"> </w:t>
      </w:r>
      <w:r>
        <w:rPr>
          <w:rFonts w:hint="eastAsia" w:ascii="宋体" w:hAnsi="宋体" w:eastAsia="宋体" w:cs="宋体"/>
          <w:b/>
          <w:sz w:val="18"/>
          <w:szCs w:val="18"/>
          <w:u w:val="single"/>
        </w:rPr>
        <w:sym w:font="宋体" w:char="E5E5"/>
      </w:r>
      <w:r>
        <w:rPr>
          <w:rFonts w:hint="eastAsia" w:ascii="宋体" w:hAnsi="宋体" w:eastAsia="宋体" w:cs="宋体"/>
          <w:b/>
          <w:sz w:val="18"/>
          <w:szCs w:val="18"/>
          <w:u w:val="single"/>
        </w:rPr>
        <w:t xml:space="preserve"> </w:t>
      </w:r>
      <w:r>
        <w:rPr>
          <w:rFonts w:hint="eastAsia" w:ascii="宋体" w:hAnsi="宋体" w:eastAsia="宋体" w:cs="宋体"/>
          <w:b/>
          <w:sz w:val="18"/>
          <w:szCs w:val="18"/>
          <w:u w:val="single"/>
        </w:rPr>
        <w:sym w:font="宋体" w:char="E5E5"/>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b/>
          <w:sz w:val="18"/>
          <w:szCs w:val="18"/>
          <w:u w:val="single"/>
        </w:rPr>
      </w:pPr>
      <w:r>
        <w:rPr>
          <w:rFonts w:hint="eastAsia" w:ascii="宋体" w:hAnsi="宋体" w:eastAsia="宋体" w:cs="宋体"/>
          <w:b/>
          <w:sz w:val="18"/>
          <w:szCs w:val="18"/>
        </w:rPr>
        <w:t>承包人（全称）：</w:t>
      </w:r>
      <w:r>
        <w:rPr>
          <w:rFonts w:hint="eastAsia" w:ascii="宋体" w:hAnsi="宋体" w:eastAsia="宋体" w:cs="宋体"/>
          <w:b/>
          <w:sz w:val="18"/>
          <w:szCs w:val="18"/>
          <w:u w:val="single"/>
        </w:rPr>
        <w:sym w:font="宋体" w:char="E5E5"/>
      </w:r>
      <w:r>
        <w:rPr>
          <w:rFonts w:hint="eastAsia" w:ascii="宋体" w:hAnsi="宋体" w:eastAsia="宋体" w:cs="宋体"/>
          <w:b/>
          <w:sz w:val="18"/>
          <w:szCs w:val="18"/>
          <w:u w:val="single"/>
        </w:rPr>
        <w:sym w:font="宋体" w:char="E5E5"/>
      </w:r>
      <w:r>
        <w:rPr>
          <w:rFonts w:hint="eastAsia" w:ascii="宋体" w:hAnsi="宋体" w:eastAsia="宋体" w:cs="宋体"/>
          <w:b/>
          <w:sz w:val="18"/>
          <w:szCs w:val="18"/>
          <w:u w:val="single"/>
        </w:rPr>
        <w:sym w:font="宋体" w:char="E5E5"/>
      </w:r>
      <w:r>
        <w:rPr>
          <w:rFonts w:hint="eastAsia" w:ascii="宋体" w:hAnsi="宋体" w:eastAsia="宋体" w:cs="宋体"/>
          <w:b/>
          <w:sz w:val="18"/>
          <w:szCs w:val="18"/>
          <w:u w:val="single"/>
        </w:rPr>
        <w:sym w:font="宋体" w:char="E5E5"/>
      </w:r>
      <w:r>
        <w:rPr>
          <w:rFonts w:hint="eastAsia" w:ascii="宋体" w:hAnsi="宋体" w:eastAsia="宋体" w:cs="宋体"/>
          <w:b/>
          <w:sz w:val="18"/>
          <w:szCs w:val="18"/>
          <w:u w:val="single"/>
        </w:rPr>
        <w:t xml:space="preserve">                    </w:t>
      </w:r>
      <w:r>
        <w:rPr>
          <w:rFonts w:hint="eastAsia" w:ascii="宋体" w:hAnsi="宋体" w:eastAsia="宋体" w:cs="宋体"/>
          <w:b/>
          <w:sz w:val="18"/>
          <w:szCs w:val="18"/>
          <w:u w:val="single"/>
        </w:rPr>
        <w:sym w:font="宋体" w:char="E5E5"/>
      </w:r>
      <w:r>
        <w:rPr>
          <w:rFonts w:hint="eastAsia" w:ascii="宋体" w:hAnsi="宋体" w:eastAsia="宋体" w:cs="宋体"/>
          <w:b/>
          <w:sz w:val="18"/>
          <w:szCs w:val="18"/>
          <w:u w:val="single"/>
        </w:rPr>
        <w:t xml:space="preserve">  </w:t>
      </w:r>
      <w:r>
        <w:rPr>
          <w:rFonts w:hint="eastAsia" w:ascii="宋体" w:hAnsi="宋体" w:eastAsia="宋体" w:cs="宋体"/>
          <w:b/>
          <w:sz w:val="18"/>
          <w:szCs w:val="18"/>
          <w:u w:val="single"/>
        </w:rPr>
        <w:sym w:font="宋体" w:char="E5E5"/>
      </w:r>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sz w:val="18"/>
          <w:szCs w:val="18"/>
        </w:rPr>
      </w:pPr>
      <w:r>
        <w:rPr>
          <w:rFonts w:hint="eastAsia" w:ascii="宋体" w:hAnsi="宋体" w:eastAsia="宋体" w:cs="宋体"/>
          <w:sz w:val="18"/>
          <w:szCs w:val="18"/>
        </w:rPr>
        <w:t>根据《中华人民共和国合同法》、《中华人民共和国建筑法》及有关法律规定，遵循平等、自愿、公平和诚实信用的原则，双方就</w:t>
      </w:r>
      <w:r>
        <w:rPr>
          <w:rFonts w:hint="eastAsia" w:ascii="宋体" w:hAnsi="宋体" w:eastAsia="宋体" w:cs="宋体"/>
          <w:sz w:val="18"/>
          <w:szCs w:val="18"/>
          <w:u w:val="single"/>
        </w:rPr>
        <w:t xml:space="preserve">             　          </w:t>
      </w:r>
      <w:r>
        <w:rPr>
          <w:rFonts w:hint="eastAsia" w:ascii="宋体" w:hAnsi="宋体" w:eastAsia="宋体" w:cs="宋体"/>
          <w:sz w:val="18"/>
          <w:szCs w:val="18"/>
        </w:rPr>
        <w:t>工程施工及有关事项协商一致，共同达成如下协议：</w:t>
      </w:r>
    </w:p>
    <w:p>
      <w:pPr>
        <w:pageBreakBefore w:val="0"/>
        <w:widowControl w:val="0"/>
        <w:kinsoku/>
        <w:wordWrap/>
        <w:overflowPunct/>
        <w:topLinePunct w:val="0"/>
        <w:bidi w:val="0"/>
        <w:snapToGrid/>
        <w:spacing w:before="0" w:after="0" w:line="240" w:lineRule="auto"/>
        <w:textAlignment w:val="auto"/>
        <w:outlineLvl w:val="9"/>
        <w:rPr>
          <w:rFonts w:hint="eastAsia" w:ascii="宋体" w:hAnsi="宋体" w:eastAsia="宋体" w:cs="宋体"/>
          <w:bCs w:val="0"/>
          <w:sz w:val="18"/>
          <w:szCs w:val="18"/>
        </w:rPr>
      </w:pPr>
      <w:r>
        <w:rPr>
          <w:rFonts w:hint="eastAsia" w:ascii="宋体" w:hAnsi="宋体" w:eastAsia="宋体" w:cs="宋体"/>
          <w:bCs w:val="0"/>
          <w:sz w:val="18"/>
          <w:szCs w:val="18"/>
        </w:rPr>
        <w:t xml:space="preserve">   </w:t>
      </w:r>
      <w:r>
        <w:rPr>
          <w:rFonts w:hint="eastAsia" w:ascii="宋体" w:hAnsi="宋体" w:eastAsia="宋体" w:cs="宋体"/>
          <w:b w:val="0"/>
          <w:sz w:val="18"/>
          <w:szCs w:val="18"/>
        </w:rPr>
        <w:t xml:space="preserve"> </w:t>
      </w:r>
      <w:bookmarkStart w:id="349" w:name="_Toc351203481"/>
      <w:r>
        <w:rPr>
          <w:rFonts w:hint="eastAsia" w:ascii="宋体" w:hAnsi="宋体" w:eastAsia="宋体" w:cs="宋体"/>
          <w:b w:val="0"/>
          <w:sz w:val="18"/>
          <w:szCs w:val="18"/>
        </w:rPr>
        <w:t>一、工程概况</w:t>
      </w:r>
      <w:bookmarkEnd w:id="349"/>
    </w:p>
    <w:p>
      <w:pPr>
        <w:pageBreakBefore w:val="0"/>
        <w:widowControl w:val="0"/>
        <w:kinsoku/>
        <w:wordWrap/>
        <w:overflowPunct/>
        <w:topLinePunct w:val="0"/>
        <w:bidi w:val="0"/>
        <w:snapToGrid/>
        <w:spacing w:after="0" w:line="240" w:lineRule="auto"/>
        <w:ind w:firstLine="352" w:firstLineChars="196"/>
        <w:textAlignment w:val="auto"/>
        <w:outlineLvl w:val="9"/>
        <w:rPr>
          <w:rFonts w:hint="eastAsia" w:ascii="宋体" w:hAnsi="宋体" w:eastAsia="宋体" w:cs="宋体"/>
          <w:b/>
          <w:bCs/>
          <w:sz w:val="18"/>
          <w:szCs w:val="18"/>
          <w:u w:val="single"/>
        </w:rPr>
      </w:pPr>
      <w:r>
        <w:rPr>
          <w:rFonts w:hint="eastAsia" w:ascii="宋体" w:hAnsi="宋体" w:eastAsia="宋体" w:cs="宋体"/>
          <w:bCs/>
          <w:sz w:val="18"/>
          <w:szCs w:val="18"/>
        </w:rPr>
        <w:t>1.工程名称</w:t>
      </w:r>
      <w:r>
        <w:rPr>
          <w:rFonts w:hint="eastAsia" w:ascii="宋体" w:hAnsi="宋体" w:eastAsia="宋体" w:cs="宋体"/>
          <w:sz w:val="18"/>
          <w:szCs w:val="18"/>
        </w:rPr>
        <w:t>：</w:t>
      </w:r>
      <w:r>
        <w:rPr>
          <w:rFonts w:hint="eastAsia" w:ascii="宋体" w:hAnsi="宋体" w:eastAsia="宋体" w:cs="宋体"/>
          <w:bCs/>
          <w:sz w:val="18"/>
          <w:szCs w:val="18"/>
          <w:u w:val="single"/>
        </w:rPr>
        <w:t xml:space="preserve">　　　　　　　　　　　　　　　　 </w:t>
      </w:r>
      <w:r>
        <w:rPr>
          <w:rFonts w:hint="eastAsia" w:ascii="宋体" w:hAnsi="宋体" w:eastAsia="宋体" w:cs="宋体"/>
          <w:sz w:val="18"/>
          <w:szCs w:val="18"/>
        </w:rPr>
        <w:t>。</w:t>
      </w:r>
    </w:p>
    <w:p>
      <w:pPr>
        <w:pageBreakBefore w:val="0"/>
        <w:widowControl w:val="0"/>
        <w:kinsoku/>
        <w:wordWrap/>
        <w:overflowPunct/>
        <w:topLinePunct w:val="0"/>
        <w:bidi w:val="0"/>
        <w:snapToGrid/>
        <w:spacing w:after="0" w:line="240" w:lineRule="auto"/>
        <w:ind w:firstLine="352" w:firstLineChars="196"/>
        <w:textAlignment w:val="auto"/>
        <w:outlineLvl w:val="9"/>
        <w:rPr>
          <w:rFonts w:hint="eastAsia" w:ascii="宋体" w:hAnsi="宋体" w:eastAsia="宋体" w:cs="宋体"/>
          <w:bCs/>
          <w:sz w:val="18"/>
          <w:szCs w:val="18"/>
        </w:rPr>
      </w:pPr>
      <w:r>
        <w:rPr>
          <w:rFonts w:hint="eastAsia" w:ascii="宋体" w:hAnsi="宋体" w:eastAsia="宋体" w:cs="宋体"/>
          <w:bCs/>
          <w:sz w:val="18"/>
          <w:szCs w:val="18"/>
        </w:rPr>
        <w:t>2.工程地点：</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rPr>
        <w:t>。</w:t>
      </w:r>
    </w:p>
    <w:p>
      <w:pPr>
        <w:pageBreakBefore w:val="0"/>
        <w:widowControl w:val="0"/>
        <w:kinsoku/>
        <w:wordWrap/>
        <w:overflowPunct/>
        <w:topLinePunct w:val="0"/>
        <w:bidi w:val="0"/>
        <w:snapToGrid/>
        <w:spacing w:after="0" w:line="240" w:lineRule="auto"/>
        <w:ind w:firstLine="352" w:firstLineChars="196"/>
        <w:textAlignment w:val="auto"/>
        <w:outlineLvl w:val="9"/>
        <w:rPr>
          <w:rFonts w:hint="eastAsia" w:ascii="宋体" w:hAnsi="宋体" w:eastAsia="宋体" w:cs="宋体"/>
          <w:bCs/>
          <w:sz w:val="18"/>
          <w:szCs w:val="18"/>
        </w:rPr>
      </w:pPr>
      <w:r>
        <w:rPr>
          <w:rFonts w:hint="eastAsia" w:ascii="宋体" w:hAnsi="宋体" w:eastAsia="宋体" w:cs="宋体"/>
          <w:bCs/>
          <w:sz w:val="18"/>
          <w:szCs w:val="18"/>
        </w:rPr>
        <w:t>3.工程立项批准文号：</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bCs/>
          <w:sz w:val="18"/>
          <w:szCs w:val="18"/>
        </w:rPr>
        <w:t>。</w:t>
      </w:r>
    </w:p>
    <w:p>
      <w:pPr>
        <w:pageBreakBefore w:val="0"/>
        <w:widowControl w:val="0"/>
        <w:kinsoku/>
        <w:wordWrap/>
        <w:overflowPunct/>
        <w:topLinePunct w:val="0"/>
        <w:bidi w:val="0"/>
        <w:snapToGrid/>
        <w:spacing w:after="0" w:line="240" w:lineRule="auto"/>
        <w:ind w:firstLine="352" w:firstLineChars="196"/>
        <w:textAlignment w:val="auto"/>
        <w:outlineLvl w:val="9"/>
        <w:rPr>
          <w:rFonts w:hint="eastAsia" w:ascii="宋体" w:hAnsi="宋体" w:eastAsia="宋体" w:cs="宋体"/>
          <w:bCs/>
          <w:sz w:val="18"/>
          <w:szCs w:val="18"/>
        </w:rPr>
      </w:pPr>
      <w:r>
        <w:rPr>
          <w:rFonts w:hint="eastAsia" w:ascii="宋体" w:hAnsi="宋体" w:eastAsia="宋体" w:cs="宋体"/>
          <w:bCs/>
          <w:sz w:val="18"/>
          <w:szCs w:val="18"/>
        </w:rPr>
        <w:t>4.资金来源：</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bCs/>
          <w:sz w:val="18"/>
          <w:szCs w:val="18"/>
        </w:rPr>
        <w:t>。</w:t>
      </w:r>
    </w:p>
    <w:p>
      <w:pPr>
        <w:pageBreakBefore w:val="0"/>
        <w:widowControl w:val="0"/>
        <w:kinsoku/>
        <w:wordWrap/>
        <w:overflowPunct/>
        <w:topLinePunct w:val="0"/>
        <w:bidi w:val="0"/>
        <w:snapToGrid/>
        <w:spacing w:after="0" w:line="240" w:lineRule="auto"/>
        <w:ind w:firstLine="352" w:firstLineChars="196"/>
        <w:textAlignment w:val="auto"/>
        <w:outlineLvl w:val="9"/>
        <w:rPr>
          <w:rFonts w:hint="eastAsia" w:ascii="宋体" w:hAnsi="宋体" w:eastAsia="宋体" w:cs="宋体"/>
          <w:bCs/>
          <w:sz w:val="18"/>
          <w:szCs w:val="18"/>
        </w:rPr>
      </w:pPr>
      <w:r>
        <w:rPr>
          <w:rFonts w:hint="eastAsia" w:ascii="宋体" w:hAnsi="宋体" w:eastAsia="宋体" w:cs="宋体"/>
          <w:bCs/>
          <w:sz w:val="18"/>
          <w:szCs w:val="18"/>
        </w:rPr>
        <w:t>5.工程内容：</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bCs/>
          <w:sz w:val="18"/>
          <w:szCs w:val="18"/>
        </w:rPr>
        <w:t>。</w:t>
      </w:r>
    </w:p>
    <w:p>
      <w:pPr>
        <w:pageBreakBefore w:val="0"/>
        <w:widowControl w:val="0"/>
        <w:kinsoku/>
        <w:wordWrap/>
        <w:overflowPunct/>
        <w:topLinePunct w:val="0"/>
        <w:bidi w:val="0"/>
        <w:snapToGrid/>
        <w:spacing w:after="0" w:line="240" w:lineRule="auto"/>
        <w:ind w:firstLine="352" w:firstLineChars="196"/>
        <w:textAlignment w:val="auto"/>
        <w:outlineLvl w:val="9"/>
        <w:rPr>
          <w:rFonts w:hint="eastAsia" w:ascii="宋体" w:hAnsi="宋体" w:eastAsia="宋体" w:cs="宋体"/>
          <w:sz w:val="18"/>
          <w:szCs w:val="18"/>
        </w:rPr>
      </w:pPr>
      <w:r>
        <w:rPr>
          <w:rFonts w:hint="eastAsia" w:ascii="宋体" w:hAnsi="宋体" w:eastAsia="宋体" w:cs="宋体"/>
          <w:bCs/>
          <w:sz w:val="18"/>
          <w:szCs w:val="18"/>
        </w:rPr>
        <w:t>6.工程承包范围：</w:t>
      </w:r>
      <w:r>
        <w:rPr>
          <w:rFonts w:hint="eastAsia" w:ascii="宋体" w:hAnsi="宋体" w:eastAsia="宋体" w:cs="宋体"/>
          <w:sz w:val="18"/>
          <w:szCs w:val="18"/>
          <w:u w:val="single"/>
        </w:rPr>
        <w:t xml:space="preserve">　　　　　　　　　　　　　　　　   </w:t>
      </w:r>
    </w:p>
    <w:p>
      <w:pPr>
        <w:pageBreakBefore w:val="0"/>
        <w:widowControl w:val="0"/>
        <w:kinsoku/>
        <w:wordWrap/>
        <w:overflowPunct/>
        <w:topLinePunct w:val="0"/>
        <w:bidi w:val="0"/>
        <w:snapToGrid/>
        <w:spacing w:before="0" w:after="0" w:line="240" w:lineRule="auto"/>
        <w:textAlignment w:val="auto"/>
        <w:outlineLvl w:val="9"/>
        <w:rPr>
          <w:rFonts w:hint="eastAsia" w:ascii="宋体" w:hAnsi="宋体" w:eastAsia="宋体" w:cs="宋体"/>
          <w:b w:val="0"/>
          <w:sz w:val="18"/>
          <w:szCs w:val="18"/>
        </w:rPr>
      </w:pPr>
      <w:r>
        <w:rPr>
          <w:rFonts w:hint="eastAsia" w:ascii="宋体" w:hAnsi="宋体" w:eastAsia="宋体" w:cs="宋体"/>
          <w:b w:val="0"/>
          <w:sz w:val="18"/>
          <w:szCs w:val="18"/>
        </w:rPr>
        <w:t xml:space="preserve">   </w:t>
      </w:r>
      <w:bookmarkStart w:id="350" w:name="_Toc351203482"/>
      <w:r>
        <w:rPr>
          <w:rFonts w:hint="eastAsia" w:ascii="宋体" w:hAnsi="宋体" w:eastAsia="宋体" w:cs="宋体"/>
          <w:b w:val="0"/>
          <w:sz w:val="18"/>
          <w:szCs w:val="18"/>
        </w:rPr>
        <w:t>二、合同工期</w:t>
      </w:r>
      <w:bookmarkEnd w:id="350"/>
    </w:p>
    <w:p>
      <w:pPr>
        <w:pageBreakBefore w:val="0"/>
        <w:widowControl w:val="0"/>
        <w:kinsoku/>
        <w:wordWrap/>
        <w:overflowPunct/>
        <w:topLinePunct w:val="0"/>
        <w:bidi w:val="0"/>
        <w:snapToGrid/>
        <w:spacing w:after="0" w:line="240" w:lineRule="auto"/>
        <w:ind w:firstLine="459"/>
        <w:textAlignment w:val="auto"/>
        <w:outlineLvl w:val="9"/>
        <w:rPr>
          <w:rFonts w:hint="eastAsia" w:ascii="宋体" w:hAnsi="宋体" w:eastAsia="宋体" w:cs="宋体"/>
          <w:sz w:val="18"/>
          <w:szCs w:val="18"/>
        </w:rPr>
      </w:pPr>
      <w:r>
        <w:rPr>
          <w:rFonts w:hint="eastAsia" w:ascii="宋体" w:hAnsi="宋体" w:eastAsia="宋体" w:cs="宋体"/>
          <w:sz w:val="18"/>
          <w:szCs w:val="18"/>
        </w:rPr>
        <w:t>计划开工日期：</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rPr>
        <w:t>年</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rPr>
        <w:t>月</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rPr>
        <w:t>日。</w:t>
      </w:r>
    </w:p>
    <w:p>
      <w:pPr>
        <w:pageBreakBefore w:val="0"/>
        <w:widowControl w:val="0"/>
        <w:kinsoku/>
        <w:wordWrap/>
        <w:overflowPunct/>
        <w:topLinePunct w:val="0"/>
        <w:bidi w:val="0"/>
        <w:snapToGrid/>
        <w:spacing w:after="0" w:line="240" w:lineRule="auto"/>
        <w:ind w:firstLine="459"/>
        <w:textAlignment w:val="auto"/>
        <w:outlineLvl w:val="9"/>
        <w:rPr>
          <w:rFonts w:hint="eastAsia" w:ascii="宋体" w:hAnsi="宋体" w:eastAsia="宋体" w:cs="宋体"/>
          <w:sz w:val="18"/>
          <w:szCs w:val="18"/>
        </w:rPr>
      </w:pPr>
      <w:r>
        <w:rPr>
          <w:rFonts w:hint="eastAsia" w:ascii="宋体" w:hAnsi="宋体" w:eastAsia="宋体" w:cs="宋体"/>
          <w:sz w:val="18"/>
          <w:szCs w:val="18"/>
        </w:rPr>
        <w:t>计划竣工日期：</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rPr>
        <w:t>年</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rPr>
        <w:t>月</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rPr>
        <w:t>日。</w:t>
      </w:r>
    </w:p>
    <w:p>
      <w:pPr>
        <w:pageBreakBefore w:val="0"/>
        <w:widowControl w:val="0"/>
        <w:kinsoku/>
        <w:wordWrap/>
        <w:overflowPunct/>
        <w:topLinePunct w:val="0"/>
        <w:bidi w:val="0"/>
        <w:snapToGrid/>
        <w:spacing w:after="0" w:line="240" w:lineRule="auto"/>
        <w:ind w:firstLine="459"/>
        <w:textAlignment w:val="auto"/>
        <w:outlineLvl w:val="9"/>
        <w:rPr>
          <w:rFonts w:hint="eastAsia" w:ascii="宋体" w:hAnsi="宋体" w:eastAsia="宋体" w:cs="宋体"/>
          <w:sz w:val="18"/>
          <w:szCs w:val="18"/>
        </w:rPr>
      </w:pPr>
      <w:r>
        <w:rPr>
          <w:rFonts w:hint="eastAsia" w:ascii="宋体" w:hAnsi="宋体" w:eastAsia="宋体" w:cs="宋体"/>
          <w:sz w:val="18"/>
          <w:szCs w:val="18"/>
        </w:rPr>
        <w:t>工期总日历天数：</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rPr>
        <w:t>。工期总日历天数与根据前述计划开竣工日期计算的工期天数不一致的，以工期总日历天数为准。</w:t>
      </w:r>
    </w:p>
    <w:p>
      <w:pPr>
        <w:pageBreakBefore w:val="0"/>
        <w:widowControl w:val="0"/>
        <w:kinsoku/>
        <w:wordWrap/>
        <w:overflowPunct/>
        <w:topLinePunct w:val="0"/>
        <w:bidi w:val="0"/>
        <w:snapToGrid/>
        <w:spacing w:before="0" w:after="0" w:line="240" w:lineRule="auto"/>
        <w:textAlignment w:val="auto"/>
        <w:outlineLvl w:val="9"/>
        <w:rPr>
          <w:rFonts w:hint="eastAsia" w:ascii="宋体" w:hAnsi="宋体" w:eastAsia="宋体" w:cs="宋体"/>
          <w:bCs w:val="0"/>
          <w:sz w:val="18"/>
          <w:szCs w:val="18"/>
        </w:rPr>
      </w:pPr>
      <w:r>
        <w:rPr>
          <w:rFonts w:hint="eastAsia" w:ascii="宋体" w:hAnsi="宋体" w:eastAsia="宋体" w:cs="宋体"/>
          <w:bCs w:val="0"/>
          <w:sz w:val="18"/>
          <w:szCs w:val="18"/>
        </w:rPr>
        <w:t xml:space="preserve">    </w:t>
      </w:r>
      <w:bookmarkStart w:id="351" w:name="_Toc351203483"/>
      <w:r>
        <w:rPr>
          <w:rFonts w:hint="eastAsia" w:ascii="宋体" w:hAnsi="宋体" w:eastAsia="宋体" w:cs="宋体"/>
          <w:b w:val="0"/>
          <w:sz w:val="18"/>
          <w:szCs w:val="18"/>
        </w:rPr>
        <w:t>三、质量标准</w:t>
      </w:r>
      <w:bookmarkEnd w:id="351"/>
    </w:p>
    <w:p>
      <w:pPr>
        <w:pageBreakBefore w:val="0"/>
        <w:widowControl w:val="0"/>
        <w:kinsoku/>
        <w:wordWrap/>
        <w:overflowPunct/>
        <w:topLinePunct w:val="0"/>
        <w:bidi w:val="0"/>
        <w:snapToGrid/>
        <w:spacing w:after="0" w:line="240" w:lineRule="auto"/>
        <w:ind w:firstLine="459"/>
        <w:textAlignment w:val="auto"/>
        <w:outlineLvl w:val="9"/>
        <w:rPr>
          <w:rFonts w:hint="eastAsia" w:ascii="宋体" w:hAnsi="宋体" w:eastAsia="宋体" w:cs="宋体"/>
          <w:sz w:val="18"/>
          <w:szCs w:val="18"/>
        </w:rPr>
      </w:pPr>
      <w:r>
        <w:rPr>
          <w:rFonts w:hint="eastAsia" w:ascii="宋体" w:hAnsi="宋体" w:eastAsia="宋体" w:cs="宋体"/>
          <w:sz w:val="18"/>
          <w:szCs w:val="18"/>
        </w:rPr>
        <w:t>工程质量符合</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w:t>
      </w:r>
      <w:r>
        <w:rPr>
          <w:rFonts w:hint="eastAsia" w:ascii="宋体" w:hAnsi="宋体" w:eastAsia="宋体" w:cs="宋体"/>
          <w:sz w:val="18"/>
          <w:szCs w:val="18"/>
          <w:u w:val="single"/>
        </w:rPr>
        <w:sym w:font="宋体" w:char="E5E5"/>
      </w:r>
      <w:r>
        <w:rPr>
          <w:rFonts w:hint="eastAsia" w:ascii="宋体" w:hAnsi="宋体" w:eastAsia="宋体" w:cs="宋体"/>
          <w:sz w:val="18"/>
          <w:szCs w:val="18"/>
        </w:rPr>
        <w:t>标准。</w:t>
      </w:r>
    </w:p>
    <w:p>
      <w:pPr>
        <w:pageBreakBefore w:val="0"/>
        <w:widowControl w:val="0"/>
        <w:kinsoku/>
        <w:wordWrap/>
        <w:overflowPunct/>
        <w:topLinePunct w:val="0"/>
        <w:bidi w:val="0"/>
        <w:snapToGrid/>
        <w:spacing w:before="0" w:after="0" w:line="240" w:lineRule="auto"/>
        <w:textAlignment w:val="auto"/>
        <w:outlineLvl w:val="9"/>
        <w:rPr>
          <w:rFonts w:hint="eastAsia" w:ascii="宋体" w:hAnsi="宋体" w:eastAsia="宋体" w:cs="宋体"/>
          <w:bCs w:val="0"/>
          <w:sz w:val="18"/>
          <w:szCs w:val="18"/>
        </w:rPr>
      </w:pPr>
      <w:r>
        <w:rPr>
          <w:rFonts w:hint="eastAsia" w:ascii="宋体" w:hAnsi="宋体" w:eastAsia="宋体" w:cs="宋体"/>
          <w:bCs w:val="0"/>
          <w:sz w:val="18"/>
          <w:szCs w:val="18"/>
        </w:rPr>
        <w:t xml:space="preserve">   </w:t>
      </w:r>
      <w:r>
        <w:rPr>
          <w:rFonts w:hint="eastAsia" w:ascii="宋体" w:hAnsi="宋体" w:eastAsia="宋体" w:cs="宋体"/>
          <w:b w:val="0"/>
          <w:sz w:val="18"/>
          <w:szCs w:val="18"/>
        </w:rPr>
        <w:t xml:space="preserve"> </w:t>
      </w:r>
      <w:bookmarkStart w:id="352" w:name="_Toc351203484"/>
      <w:r>
        <w:rPr>
          <w:rFonts w:hint="eastAsia" w:ascii="宋体" w:hAnsi="宋体" w:eastAsia="宋体" w:cs="宋体"/>
          <w:b w:val="0"/>
          <w:sz w:val="18"/>
          <w:szCs w:val="18"/>
        </w:rPr>
        <w:t>四、签约合同价与合同价格形式</w:t>
      </w:r>
      <w:bookmarkEnd w:id="352"/>
      <w:r>
        <w:rPr>
          <w:rFonts w:hint="eastAsia" w:ascii="宋体" w:hAnsi="宋体" w:eastAsia="宋体" w:cs="宋体"/>
          <w:b w:val="0"/>
          <w:sz w:val="18"/>
          <w:szCs w:val="18"/>
        </w:rPr>
        <w:tab/>
      </w:r>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sz w:val="18"/>
          <w:szCs w:val="18"/>
        </w:rPr>
      </w:pPr>
      <w:r>
        <w:rPr>
          <w:rFonts w:hint="eastAsia" w:ascii="宋体" w:hAnsi="宋体" w:eastAsia="宋体" w:cs="宋体"/>
          <w:sz w:val="18"/>
          <w:szCs w:val="18"/>
        </w:rPr>
        <w:t>1.签约合同价为：</w:t>
      </w:r>
    </w:p>
    <w:p>
      <w:pPr>
        <w:pageBreakBefore w:val="0"/>
        <w:widowControl w:val="0"/>
        <w:kinsoku/>
        <w:wordWrap/>
        <w:overflowPunct/>
        <w:topLinePunct w:val="0"/>
        <w:bidi w:val="0"/>
        <w:snapToGrid/>
        <w:spacing w:after="0" w:line="240" w:lineRule="auto"/>
        <w:ind w:firstLine="450" w:firstLineChars="250"/>
        <w:textAlignment w:val="auto"/>
        <w:outlineLvl w:val="9"/>
        <w:rPr>
          <w:rFonts w:hint="eastAsia" w:ascii="宋体" w:hAnsi="宋体" w:eastAsia="宋体" w:cs="宋体"/>
          <w:sz w:val="18"/>
          <w:szCs w:val="18"/>
        </w:rPr>
      </w:pPr>
      <w:r>
        <w:rPr>
          <w:rFonts w:hint="eastAsia" w:ascii="宋体" w:hAnsi="宋体" w:eastAsia="宋体" w:cs="宋体"/>
          <w:sz w:val="18"/>
          <w:szCs w:val="18"/>
        </w:rPr>
        <w:t>人民币（大写）</w:t>
      </w:r>
      <w:r>
        <w:rPr>
          <w:rFonts w:hint="eastAsia" w:ascii="宋体" w:hAnsi="宋体" w:eastAsia="宋体" w:cs="宋体"/>
          <w:sz w:val="18"/>
          <w:szCs w:val="18"/>
          <w:u w:val="single"/>
        </w:rPr>
        <w:t xml:space="preserve">                             </w:t>
      </w:r>
      <w:r>
        <w:rPr>
          <w:rFonts w:hint="eastAsia" w:ascii="宋体" w:hAnsi="宋体" w:eastAsia="宋体" w:cs="宋体"/>
          <w:sz w:val="18"/>
          <w:szCs w:val="18"/>
        </w:rPr>
        <w:t>(¥</w:t>
      </w:r>
      <w:r>
        <w:rPr>
          <w:rFonts w:hint="eastAsia" w:ascii="宋体" w:hAnsi="宋体" w:eastAsia="宋体" w:cs="宋体"/>
          <w:sz w:val="18"/>
          <w:szCs w:val="18"/>
          <w:u w:val="single"/>
        </w:rPr>
        <w:t xml:space="preserve">             </w:t>
      </w:r>
      <w:r>
        <w:rPr>
          <w:rFonts w:hint="eastAsia" w:ascii="宋体" w:hAnsi="宋体" w:eastAsia="宋体" w:cs="宋体"/>
          <w:sz w:val="18"/>
          <w:szCs w:val="18"/>
        </w:rPr>
        <w:t>元)；</w:t>
      </w:r>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sz w:val="18"/>
          <w:szCs w:val="18"/>
        </w:rPr>
      </w:pPr>
      <w:r>
        <w:rPr>
          <w:rFonts w:hint="eastAsia" w:ascii="宋体" w:hAnsi="宋体" w:eastAsia="宋体" w:cs="宋体"/>
          <w:sz w:val="18"/>
          <w:szCs w:val="18"/>
        </w:rPr>
        <w:t>其中：</w:t>
      </w:r>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sz w:val="18"/>
          <w:szCs w:val="18"/>
        </w:rPr>
      </w:pPr>
      <w:r>
        <w:rPr>
          <w:rFonts w:hint="eastAsia" w:ascii="宋体" w:hAnsi="宋体" w:eastAsia="宋体" w:cs="宋体"/>
          <w:sz w:val="18"/>
          <w:szCs w:val="18"/>
        </w:rPr>
        <w:t>（1）安全文明施工费：</w:t>
      </w:r>
    </w:p>
    <w:p>
      <w:pPr>
        <w:pageBreakBefore w:val="0"/>
        <w:widowControl w:val="0"/>
        <w:kinsoku/>
        <w:wordWrap/>
        <w:overflowPunct/>
        <w:topLinePunct w:val="0"/>
        <w:bidi w:val="0"/>
        <w:snapToGrid/>
        <w:spacing w:after="0" w:line="240" w:lineRule="auto"/>
        <w:ind w:firstLine="810" w:firstLineChars="450"/>
        <w:textAlignment w:val="auto"/>
        <w:outlineLvl w:val="9"/>
        <w:rPr>
          <w:rFonts w:hint="eastAsia" w:ascii="宋体" w:hAnsi="宋体" w:eastAsia="宋体" w:cs="宋体"/>
          <w:sz w:val="18"/>
          <w:szCs w:val="18"/>
        </w:rPr>
      </w:pPr>
      <w:r>
        <w:rPr>
          <w:rFonts w:hint="eastAsia" w:ascii="宋体" w:hAnsi="宋体" w:eastAsia="宋体" w:cs="宋体"/>
          <w:sz w:val="18"/>
          <w:szCs w:val="18"/>
        </w:rPr>
        <w:t>人民币（大写）</w:t>
      </w:r>
      <w:r>
        <w:rPr>
          <w:rFonts w:hint="eastAsia" w:ascii="宋体" w:hAnsi="宋体" w:eastAsia="宋体" w:cs="宋体"/>
          <w:sz w:val="18"/>
          <w:szCs w:val="18"/>
          <w:u w:val="single"/>
        </w:rPr>
        <w:t xml:space="preserve">              </w:t>
      </w:r>
      <w:r>
        <w:rPr>
          <w:rFonts w:hint="eastAsia" w:ascii="宋体" w:hAnsi="宋体" w:eastAsia="宋体" w:cs="宋体"/>
          <w:sz w:val="18"/>
          <w:szCs w:val="18"/>
        </w:rPr>
        <w:t xml:space="preserve"> (¥</w:t>
      </w:r>
      <w:r>
        <w:rPr>
          <w:rFonts w:hint="eastAsia" w:ascii="宋体" w:hAnsi="宋体" w:eastAsia="宋体" w:cs="宋体"/>
          <w:sz w:val="18"/>
          <w:szCs w:val="18"/>
          <w:u w:val="single"/>
        </w:rPr>
        <w:t xml:space="preserve">          </w:t>
      </w:r>
      <w:r>
        <w:rPr>
          <w:rFonts w:hint="eastAsia" w:ascii="宋体" w:hAnsi="宋体" w:eastAsia="宋体" w:cs="宋体"/>
          <w:sz w:val="18"/>
          <w:szCs w:val="18"/>
        </w:rPr>
        <w:t>元)；</w:t>
      </w:r>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sz w:val="18"/>
          <w:szCs w:val="18"/>
        </w:rPr>
      </w:pPr>
      <w:r>
        <w:rPr>
          <w:rFonts w:hint="eastAsia" w:ascii="宋体" w:hAnsi="宋体" w:eastAsia="宋体" w:cs="宋体"/>
          <w:sz w:val="18"/>
          <w:szCs w:val="18"/>
        </w:rPr>
        <w:t>（2）材料和工程设备暂估价金额：</w:t>
      </w:r>
    </w:p>
    <w:p>
      <w:pPr>
        <w:pageBreakBefore w:val="0"/>
        <w:widowControl w:val="0"/>
        <w:kinsoku/>
        <w:wordWrap/>
        <w:overflowPunct/>
        <w:topLinePunct w:val="0"/>
        <w:bidi w:val="0"/>
        <w:snapToGrid/>
        <w:spacing w:after="0" w:line="240" w:lineRule="auto"/>
        <w:ind w:firstLine="810" w:firstLineChars="450"/>
        <w:textAlignment w:val="auto"/>
        <w:outlineLvl w:val="9"/>
        <w:rPr>
          <w:rFonts w:hint="eastAsia" w:ascii="宋体" w:hAnsi="宋体" w:eastAsia="宋体" w:cs="宋体"/>
          <w:sz w:val="18"/>
          <w:szCs w:val="18"/>
        </w:rPr>
      </w:pPr>
      <w:r>
        <w:rPr>
          <w:rFonts w:hint="eastAsia" w:ascii="宋体" w:hAnsi="宋体" w:eastAsia="宋体" w:cs="宋体"/>
          <w:sz w:val="18"/>
          <w:szCs w:val="18"/>
        </w:rPr>
        <w:t>人民币（大写）</w:t>
      </w:r>
      <w:r>
        <w:rPr>
          <w:rFonts w:hint="eastAsia" w:ascii="宋体" w:hAnsi="宋体" w:eastAsia="宋体" w:cs="宋体"/>
          <w:sz w:val="18"/>
          <w:szCs w:val="18"/>
          <w:u w:val="single"/>
        </w:rPr>
        <w:t xml:space="preserve">              </w:t>
      </w:r>
      <w:r>
        <w:rPr>
          <w:rFonts w:hint="eastAsia" w:ascii="宋体" w:hAnsi="宋体" w:eastAsia="宋体" w:cs="宋体"/>
          <w:sz w:val="18"/>
          <w:szCs w:val="18"/>
        </w:rPr>
        <w:t xml:space="preserve"> (¥</w:t>
      </w:r>
      <w:r>
        <w:rPr>
          <w:rFonts w:hint="eastAsia" w:ascii="宋体" w:hAnsi="宋体" w:eastAsia="宋体" w:cs="宋体"/>
          <w:sz w:val="18"/>
          <w:szCs w:val="18"/>
          <w:u w:val="single"/>
        </w:rPr>
        <w:t xml:space="preserve">          </w:t>
      </w:r>
      <w:r>
        <w:rPr>
          <w:rFonts w:hint="eastAsia" w:ascii="宋体" w:hAnsi="宋体" w:eastAsia="宋体" w:cs="宋体"/>
          <w:sz w:val="18"/>
          <w:szCs w:val="18"/>
        </w:rPr>
        <w:t>元)；</w:t>
      </w:r>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sz w:val="18"/>
          <w:szCs w:val="18"/>
        </w:rPr>
      </w:pPr>
      <w:r>
        <w:rPr>
          <w:rFonts w:hint="eastAsia" w:ascii="宋体" w:hAnsi="宋体" w:eastAsia="宋体" w:cs="宋体"/>
          <w:sz w:val="18"/>
          <w:szCs w:val="18"/>
        </w:rPr>
        <w:t>（3）专业工程暂估价金额：</w:t>
      </w:r>
    </w:p>
    <w:p>
      <w:pPr>
        <w:pageBreakBefore w:val="0"/>
        <w:widowControl w:val="0"/>
        <w:kinsoku/>
        <w:wordWrap/>
        <w:overflowPunct/>
        <w:topLinePunct w:val="0"/>
        <w:bidi w:val="0"/>
        <w:snapToGrid/>
        <w:spacing w:after="0" w:line="240" w:lineRule="auto"/>
        <w:ind w:firstLine="810" w:firstLineChars="450"/>
        <w:textAlignment w:val="auto"/>
        <w:outlineLvl w:val="9"/>
        <w:rPr>
          <w:rFonts w:hint="eastAsia" w:ascii="宋体" w:hAnsi="宋体" w:eastAsia="宋体" w:cs="宋体"/>
          <w:sz w:val="18"/>
          <w:szCs w:val="18"/>
        </w:rPr>
      </w:pPr>
      <w:r>
        <w:rPr>
          <w:rFonts w:hint="eastAsia" w:ascii="宋体" w:hAnsi="宋体" w:eastAsia="宋体" w:cs="宋体"/>
          <w:sz w:val="18"/>
          <w:szCs w:val="18"/>
        </w:rPr>
        <w:t>人民币（大写）</w:t>
      </w:r>
      <w:r>
        <w:rPr>
          <w:rFonts w:hint="eastAsia" w:ascii="宋体" w:hAnsi="宋体" w:eastAsia="宋体" w:cs="宋体"/>
          <w:sz w:val="18"/>
          <w:szCs w:val="18"/>
          <w:u w:val="single"/>
        </w:rPr>
        <w:t xml:space="preserve">              </w:t>
      </w:r>
      <w:r>
        <w:rPr>
          <w:rFonts w:hint="eastAsia" w:ascii="宋体" w:hAnsi="宋体" w:eastAsia="宋体" w:cs="宋体"/>
          <w:sz w:val="18"/>
          <w:szCs w:val="18"/>
        </w:rPr>
        <w:t xml:space="preserve"> (¥</w:t>
      </w:r>
      <w:r>
        <w:rPr>
          <w:rFonts w:hint="eastAsia" w:ascii="宋体" w:hAnsi="宋体" w:eastAsia="宋体" w:cs="宋体"/>
          <w:sz w:val="18"/>
          <w:szCs w:val="18"/>
          <w:u w:val="single"/>
        </w:rPr>
        <w:t xml:space="preserve">          </w:t>
      </w:r>
      <w:r>
        <w:rPr>
          <w:rFonts w:hint="eastAsia" w:ascii="宋体" w:hAnsi="宋体" w:eastAsia="宋体" w:cs="宋体"/>
          <w:sz w:val="18"/>
          <w:szCs w:val="18"/>
        </w:rPr>
        <w:t>元)；</w:t>
      </w:r>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sz w:val="18"/>
          <w:szCs w:val="18"/>
        </w:rPr>
      </w:pPr>
      <w:r>
        <w:rPr>
          <w:rFonts w:hint="eastAsia" w:ascii="宋体" w:hAnsi="宋体" w:eastAsia="宋体" w:cs="宋体"/>
          <w:sz w:val="18"/>
          <w:szCs w:val="18"/>
        </w:rPr>
        <w:t>（4）暂列金额：</w:t>
      </w:r>
    </w:p>
    <w:p>
      <w:pPr>
        <w:pageBreakBefore w:val="0"/>
        <w:widowControl w:val="0"/>
        <w:kinsoku/>
        <w:wordWrap/>
        <w:overflowPunct/>
        <w:topLinePunct w:val="0"/>
        <w:bidi w:val="0"/>
        <w:snapToGrid/>
        <w:spacing w:after="0" w:line="240" w:lineRule="auto"/>
        <w:ind w:firstLine="810" w:firstLineChars="450"/>
        <w:textAlignment w:val="auto"/>
        <w:outlineLvl w:val="9"/>
        <w:rPr>
          <w:rFonts w:hint="eastAsia" w:ascii="宋体" w:hAnsi="宋体" w:eastAsia="宋体" w:cs="宋体"/>
          <w:sz w:val="18"/>
          <w:szCs w:val="18"/>
        </w:rPr>
      </w:pPr>
      <w:r>
        <w:rPr>
          <w:rFonts w:hint="eastAsia" w:ascii="宋体" w:hAnsi="宋体" w:eastAsia="宋体" w:cs="宋体"/>
          <w:sz w:val="18"/>
          <w:szCs w:val="18"/>
        </w:rPr>
        <w:t>人民币（大写）</w:t>
      </w:r>
      <w:r>
        <w:rPr>
          <w:rFonts w:hint="eastAsia" w:ascii="宋体" w:hAnsi="宋体" w:eastAsia="宋体" w:cs="宋体"/>
          <w:sz w:val="18"/>
          <w:szCs w:val="18"/>
          <w:u w:val="single"/>
        </w:rPr>
        <w:t xml:space="preserve">              </w:t>
      </w:r>
      <w:r>
        <w:rPr>
          <w:rFonts w:hint="eastAsia" w:ascii="宋体" w:hAnsi="宋体" w:eastAsia="宋体" w:cs="宋体"/>
          <w:sz w:val="18"/>
          <w:szCs w:val="18"/>
        </w:rPr>
        <w:t xml:space="preserve"> (¥</w:t>
      </w:r>
      <w:r>
        <w:rPr>
          <w:rFonts w:hint="eastAsia" w:ascii="宋体" w:hAnsi="宋体" w:eastAsia="宋体" w:cs="宋体"/>
          <w:sz w:val="18"/>
          <w:szCs w:val="18"/>
          <w:u w:val="single"/>
        </w:rPr>
        <w:t xml:space="preserve">          </w:t>
      </w:r>
      <w:r>
        <w:rPr>
          <w:rFonts w:hint="eastAsia" w:ascii="宋体" w:hAnsi="宋体" w:eastAsia="宋体" w:cs="宋体"/>
          <w:sz w:val="18"/>
          <w:szCs w:val="18"/>
        </w:rPr>
        <w:t>元)。</w:t>
      </w:r>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sz w:val="18"/>
          <w:szCs w:val="18"/>
        </w:rPr>
      </w:pPr>
      <w:r>
        <w:rPr>
          <w:rFonts w:hint="eastAsia" w:ascii="宋体" w:hAnsi="宋体" w:eastAsia="宋体" w:cs="宋体"/>
          <w:sz w:val="18"/>
          <w:szCs w:val="18"/>
        </w:rPr>
        <w:t>2.合同价格形式：</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单价合同</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rPr>
        <w:t>。</w:t>
      </w:r>
    </w:p>
    <w:p>
      <w:pPr>
        <w:pageBreakBefore w:val="0"/>
        <w:widowControl w:val="0"/>
        <w:kinsoku/>
        <w:wordWrap/>
        <w:overflowPunct/>
        <w:topLinePunct w:val="0"/>
        <w:bidi w:val="0"/>
        <w:snapToGrid/>
        <w:spacing w:before="0" w:after="0" w:line="240" w:lineRule="auto"/>
        <w:textAlignment w:val="auto"/>
        <w:outlineLvl w:val="9"/>
        <w:rPr>
          <w:rFonts w:hint="eastAsia" w:ascii="宋体" w:hAnsi="宋体" w:eastAsia="宋体" w:cs="宋体"/>
          <w:b w:val="0"/>
          <w:sz w:val="18"/>
          <w:szCs w:val="18"/>
        </w:rPr>
      </w:pPr>
      <w:r>
        <w:rPr>
          <w:rFonts w:hint="eastAsia" w:ascii="宋体" w:hAnsi="宋体" w:eastAsia="宋体" w:cs="宋体"/>
          <w:bCs w:val="0"/>
          <w:sz w:val="18"/>
          <w:szCs w:val="18"/>
        </w:rPr>
        <w:t xml:space="preserve">   </w:t>
      </w:r>
      <w:r>
        <w:rPr>
          <w:rFonts w:hint="eastAsia" w:ascii="宋体" w:hAnsi="宋体" w:eastAsia="宋体" w:cs="宋体"/>
          <w:b w:val="0"/>
          <w:sz w:val="18"/>
          <w:szCs w:val="18"/>
        </w:rPr>
        <w:t xml:space="preserve"> </w:t>
      </w:r>
      <w:bookmarkStart w:id="353" w:name="_Toc351203485"/>
      <w:r>
        <w:rPr>
          <w:rFonts w:hint="eastAsia" w:ascii="宋体" w:hAnsi="宋体" w:eastAsia="宋体" w:cs="宋体"/>
          <w:b w:val="0"/>
          <w:sz w:val="18"/>
          <w:szCs w:val="18"/>
        </w:rPr>
        <w:t>五、</w:t>
      </w:r>
      <w:bookmarkEnd w:id="353"/>
      <w:r>
        <w:rPr>
          <w:rFonts w:hint="eastAsia" w:ascii="宋体" w:hAnsi="宋体" w:eastAsia="宋体" w:cs="宋体"/>
          <w:b w:val="0"/>
          <w:sz w:val="18"/>
          <w:szCs w:val="18"/>
        </w:rPr>
        <w:t>项目经理</w:t>
      </w:r>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sz w:val="18"/>
          <w:szCs w:val="18"/>
        </w:rPr>
      </w:pPr>
      <w:r>
        <w:rPr>
          <w:rFonts w:hint="eastAsia" w:ascii="宋体" w:hAnsi="宋体" w:eastAsia="宋体" w:cs="宋体"/>
          <w:sz w:val="18"/>
          <w:szCs w:val="18"/>
        </w:rPr>
        <w:t>承包人项目经理：</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rPr>
        <w:t>。</w:t>
      </w:r>
    </w:p>
    <w:p>
      <w:pPr>
        <w:pageBreakBefore w:val="0"/>
        <w:widowControl w:val="0"/>
        <w:kinsoku/>
        <w:wordWrap/>
        <w:overflowPunct/>
        <w:topLinePunct w:val="0"/>
        <w:bidi w:val="0"/>
        <w:snapToGrid/>
        <w:spacing w:before="0" w:after="0" w:line="240" w:lineRule="auto"/>
        <w:textAlignment w:val="auto"/>
        <w:outlineLvl w:val="9"/>
        <w:rPr>
          <w:rFonts w:hint="eastAsia" w:ascii="宋体" w:hAnsi="宋体" w:eastAsia="宋体" w:cs="宋体"/>
          <w:bCs w:val="0"/>
          <w:sz w:val="18"/>
          <w:szCs w:val="18"/>
        </w:rPr>
      </w:pPr>
      <w:r>
        <w:rPr>
          <w:rFonts w:hint="eastAsia" w:ascii="宋体" w:hAnsi="宋体" w:eastAsia="宋体" w:cs="宋体"/>
          <w:bCs w:val="0"/>
          <w:sz w:val="18"/>
          <w:szCs w:val="18"/>
        </w:rPr>
        <w:t xml:space="preserve">   </w:t>
      </w:r>
      <w:r>
        <w:rPr>
          <w:rFonts w:hint="eastAsia" w:ascii="宋体" w:hAnsi="宋体" w:eastAsia="宋体" w:cs="宋体"/>
          <w:b w:val="0"/>
          <w:sz w:val="18"/>
          <w:szCs w:val="18"/>
        </w:rPr>
        <w:t xml:space="preserve"> </w:t>
      </w:r>
      <w:bookmarkStart w:id="354" w:name="_Toc351203486"/>
      <w:r>
        <w:rPr>
          <w:rFonts w:hint="eastAsia" w:ascii="宋体" w:hAnsi="宋体" w:eastAsia="宋体" w:cs="宋体"/>
          <w:b w:val="0"/>
          <w:sz w:val="18"/>
          <w:szCs w:val="18"/>
        </w:rPr>
        <w:t>六、合同文件构成</w:t>
      </w:r>
      <w:bookmarkEnd w:id="354"/>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bCs/>
          <w:sz w:val="18"/>
          <w:szCs w:val="18"/>
        </w:rPr>
      </w:pPr>
      <w:r>
        <w:rPr>
          <w:rFonts w:hint="eastAsia" w:ascii="宋体" w:hAnsi="宋体" w:eastAsia="宋体" w:cs="宋体"/>
          <w:bCs/>
          <w:sz w:val="18"/>
          <w:szCs w:val="18"/>
        </w:rPr>
        <w:t>本协议书与下列文件一起构成合同文件：</w:t>
      </w:r>
    </w:p>
    <w:p>
      <w:pPr>
        <w:pageBreakBefore w:val="0"/>
        <w:widowControl w:val="0"/>
        <w:kinsoku/>
        <w:wordWrap/>
        <w:overflowPunct/>
        <w:topLinePunct w:val="0"/>
        <w:autoSpaceDE w:val="0"/>
        <w:autoSpaceDN w:val="0"/>
        <w:bidi w:val="0"/>
        <w:adjustRightInd w:val="0"/>
        <w:snapToGrid/>
        <w:spacing w:after="0" w:line="240" w:lineRule="auto"/>
        <w:ind w:firstLine="360" w:firstLineChars="20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（1）中标通知书（如果有）；</w:t>
      </w:r>
    </w:p>
    <w:p>
      <w:pPr>
        <w:pageBreakBefore w:val="0"/>
        <w:widowControl w:val="0"/>
        <w:kinsoku/>
        <w:wordWrap/>
        <w:overflowPunct/>
        <w:topLinePunct w:val="0"/>
        <w:autoSpaceDE w:val="0"/>
        <w:autoSpaceDN w:val="0"/>
        <w:bidi w:val="0"/>
        <w:adjustRightInd w:val="0"/>
        <w:snapToGrid/>
        <w:spacing w:after="0" w:line="240" w:lineRule="auto"/>
        <w:ind w:firstLine="360" w:firstLineChars="20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 xml:space="preserve">（2）投标函及其附录（如果有）； </w:t>
      </w:r>
    </w:p>
    <w:p>
      <w:pPr>
        <w:pageBreakBefore w:val="0"/>
        <w:widowControl w:val="0"/>
        <w:kinsoku/>
        <w:wordWrap/>
        <w:overflowPunct/>
        <w:topLinePunct w:val="0"/>
        <w:autoSpaceDE w:val="0"/>
        <w:autoSpaceDN w:val="0"/>
        <w:bidi w:val="0"/>
        <w:adjustRightInd w:val="0"/>
        <w:snapToGrid/>
        <w:spacing w:after="0" w:line="240" w:lineRule="auto"/>
        <w:ind w:firstLine="360" w:firstLineChars="20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（3）专用合同条款及其附件；</w:t>
      </w:r>
    </w:p>
    <w:p>
      <w:pPr>
        <w:pageBreakBefore w:val="0"/>
        <w:widowControl w:val="0"/>
        <w:kinsoku/>
        <w:wordWrap/>
        <w:overflowPunct/>
        <w:topLinePunct w:val="0"/>
        <w:autoSpaceDE w:val="0"/>
        <w:autoSpaceDN w:val="0"/>
        <w:bidi w:val="0"/>
        <w:adjustRightInd w:val="0"/>
        <w:snapToGrid/>
        <w:spacing w:after="0" w:line="240" w:lineRule="auto"/>
        <w:ind w:firstLine="360" w:firstLineChars="20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（4）通用合同条款；</w:t>
      </w:r>
    </w:p>
    <w:p>
      <w:pPr>
        <w:pageBreakBefore w:val="0"/>
        <w:widowControl w:val="0"/>
        <w:kinsoku/>
        <w:wordWrap/>
        <w:overflowPunct/>
        <w:topLinePunct w:val="0"/>
        <w:autoSpaceDE w:val="0"/>
        <w:autoSpaceDN w:val="0"/>
        <w:bidi w:val="0"/>
        <w:adjustRightInd w:val="0"/>
        <w:snapToGrid/>
        <w:spacing w:after="0" w:line="240" w:lineRule="auto"/>
        <w:ind w:firstLine="360" w:firstLineChars="20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（5）技术标准和要求；</w:t>
      </w:r>
    </w:p>
    <w:p>
      <w:pPr>
        <w:pageBreakBefore w:val="0"/>
        <w:widowControl w:val="0"/>
        <w:kinsoku/>
        <w:wordWrap/>
        <w:overflowPunct/>
        <w:topLinePunct w:val="0"/>
        <w:autoSpaceDE w:val="0"/>
        <w:autoSpaceDN w:val="0"/>
        <w:bidi w:val="0"/>
        <w:adjustRightInd w:val="0"/>
        <w:snapToGrid/>
        <w:spacing w:after="0" w:line="240" w:lineRule="auto"/>
        <w:ind w:firstLine="360" w:firstLineChars="20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（6）图纸；</w:t>
      </w:r>
    </w:p>
    <w:p>
      <w:pPr>
        <w:pageBreakBefore w:val="0"/>
        <w:widowControl w:val="0"/>
        <w:kinsoku/>
        <w:wordWrap/>
        <w:overflowPunct/>
        <w:topLinePunct w:val="0"/>
        <w:autoSpaceDE w:val="0"/>
        <w:autoSpaceDN w:val="0"/>
        <w:bidi w:val="0"/>
        <w:adjustRightInd w:val="0"/>
        <w:snapToGrid/>
        <w:spacing w:after="0" w:line="240" w:lineRule="auto"/>
        <w:ind w:firstLine="360" w:firstLineChars="20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（7）已标价工程量清单或预算书；</w:t>
      </w:r>
    </w:p>
    <w:p>
      <w:pPr>
        <w:pageBreakBefore w:val="0"/>
        <w:widowControl w:val="0"/>
        <w:kinsoku/>
        <w:wordWrap/>
        <w:overflowPunct/>
        <w:topLinePunct w:val="0"/>
        <w:autoSpaceDE w:val="0"/>
        <w:autoSpaceDN w:val="0"/>
        <w:bidi w:val="0"/>
        <w:adjustRightInd w:val="0"/>
        <w:snapToGrid/>
        <w:spacing w:after="0" w:line="240" w:lineRule="auto"/>
        <w:ind w:firstLine="360" w:firstLineChars="20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（8）其他合同文件。</w:t>
      </w:r>
    </w:p>
    <w:p>
      <w:pPr>
        <w:pageBreakBefore w:val="0"/>
        <w:widowControl w:val="0"/>
        <w:kinsoku/>
        <w:wordWrap/>
        <w:overflowPunct/>
        <w:topLinePunct w:val="0"/>
        <w:autoSpaceDE w:val="0"/>
        <w:autoSpaceDN w:val="0"/>
        <w:bidi w:val="0"/>
        <w:adjustRightInd w:val="0"/>
        <w:snapToGrid/>
        <w:spacing w:after="0" w:line="240" w:lineRule="auto"/>
        <w:ind w:firstLine="360" w:firstLineChars="20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在合同订立及履行过程中形成的与合同有关的文件均构成合同文件组成部分。</w:t>
      </w:r>
    </w:p>
    <w:p>
      <w:pPr>
        <w:pageBreakBefore w:val="0"/>
        <w:widowControl w:val="0"/>
        <w:kinsoku/>
        <w:wordWrap/>
        <w:overflowPunct/>
        <w:topLinePunct w:val="0"/>
        <w:autoSpaceDE w:val="0"/>
        <w:autoSpaceDN w:val="0"/>
        <w:bidi w:val="0"/>
        <w:adjustRightInd w:val="0"/>
        <w:snapToGrid/>
        <w:spacing w:after="0" w:line="240" w:lineRule="auto"/>
        <w:ind w:firstLine="360" w:firstLineChars="200"/>
        <w:jc w:val="left"/>
        <w:textAlignment w:val="auto"/>
        <w:outlineLvl w:val="9"/>
        <w:rPr>
          <w:rFonts w:hint="eastAsia" w:ascii="宋体" w:hAnsi="宋体" w:eastAsia="宋体" w:cs="宋体"/>
          <w:sz w:val="18"/>
          <w:szCs w:val="18"/>
        </w:rPr>
      </w:pPr>
      <w:r>
        <w:rPr>
          <w:rFonts w:hint="eastAsia" w:ascii="宋体" w:hAnsi="宋体" w:eastAsia="宋体" w:cs="宋体"/>
          <w:sz w:val="18"/>
          <w:szCs w:val="18"/>
        </w:rPr>
        <w:t>上述各项合同文件包括合同当事人就该项合同文件所作出的补充和修改，属于同一类内容的文件，应以最新签署的为准。专用合同条款及其附件须经合同当事人签字或盖章。</w:t>
      </w:r>
    </w:p>
    <w:p>
      <w:pPr>
        <w:pageBreakBefore w:val="0"/>
        <w:widowControl w:val="0"/>
        <w:kinsoku/>
        <w:wordWrap/>
        <w:overflowPunct/>
        <w:topLinePunct w:val="0"/>
        <w:bidi w:val="0"/>
        <w:snapToGrid/>
        <w:spacing w:before="0" w:after="0" w:line="240" w:lineRule="auto"/>
        <w:textAlignment w:val="auto"/>
        <w:outlineLvl w:val="9"/>
        <w:rPr>
          <w:rFonts w:hint="eastAsia" w:ascii="宋体" w:hAnsi="宋体" w:eastAsia="宋体" w:cs="宋体"/>
          <w:b w:val="0"/>
          <w:bCs w:val="0"/>
          <w:sz w:val="18"/>
          <w:szCs w:val="18"/>
        </w:rPr>
      </w:pPr>
      <w:r>
        <w:rPr>
          <w:rFonts w:hint="eastAsia" w:ascii="宋体" w:hAnsi="宋体" w:eastAsia="宋体" w:cs="宋体"/>
          <w:b w:val="0"/>
          <w:bCs w:val="0"/>
          <w:sz w:val="18"/>
          <w:szCs w:val="18"/>
        </w:rPr>
        <w:t xml:space="preserve">   </w:t>
      </w:r>
      <w:r>
        <w:rPr>
          <w:rFonts w:hint="eastAsia" w:ascii="宋体" w:hAnsi="宋体" w:eastAsia="宋体" w:cs="宋体"/>
          <w:b w:val="0"/>
          <w:sz w:val="18"/>
          <w:szCs w:val="18"/>
        </w:rPr>
        <w:t xml:space="preserve"> </w:t>
      </w:r>
      <w:bookmarkStart w:id="355" w:name="_Toc351203487"/>
      <w:r>
        <w:rPr>
          <w:rFonts w:hint="eastAsia" w:ascii="宋体" w:hAnsi="宋体" w:eastAsia="宋体" w:cs="宋体"/>
          <w:b w:val="0"/>
          <w:sz w:val="18"/>
          <w:szCs w:val="18"/>
        </w:rPr>
        <w:t>七、承诺</w:t>
      </w:r>
      <w:bookmarkEnd w:id="355"/>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bCs/>
          <w:sz w:val="18"/>
          <w:szCs w:val="18"/>
        </w:rPr>
      </w:pPr>
      <w:r>
        <w:rPr>
          <w:rFonts w:hint="eastAsia" w:ascii="宋体" w:hAnsi="宋体" w:eastAsia="宋体" w:cs="宋体"/>
          <w:bCs/>
          <w:sz w:val="18"/>
          <w:szCs w:val="18"/>
        </w:rPr>
        <w:t>1.发包人承诺按照法律规定履行项目审批手续、筹集工程建设资金并按照合同约定的期限和方式支付合同价款。</w:t>
      </w:r>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bCs/>
          <w:sz w:val="18"/>
          <w:szCs w:val="18"/>
        </w:rPr>
      </w:pPr>
      <w:r>
        <w:rPr>
          <w:rFonts w:hint="eastAsia" w:ascii="宋体" w:hAnsi="宋体" w:eastAsia="宋体" w:cs="宋体"/>
          <w:bCs/>
          <w:sz w:val="18"/>
          <w:szCs w:val="18"/>
        </w:rPr>
        <w:t>2.承包人承诺按照法律规定及合同约定组织完成工程施工，确保工程质量和安全，不进行转包及违法分包，并在缺陷责任期及保修期内承担相应的工程维修责任。</w:t>
      </w:r>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bCs/>
          <w:sz w:val="18"/>
          <w:szCs w:val="18"/>
        </w:rPr>
      </w:pPr>
      <w:r>
        <w:rPr>
          <w:rFonts w:hint="eastAsia" w:ascii="宋体" w:hAnsi="宋体" w:eastAsia="宋体" w:cs="宋体"/>
          <w:bCs/>
          <w:sz w:val="18"/>
          <w:szCs w:val="18"/>
        </w:rPr>
        <w:t>3.发包人和承包人通过招投标形式签订合同的，双方理解并承诺不再就同一工程另行签订与合同实质性内容相背离的协议。</w:t>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bCs/>
          <w:sz w:val="18"/>
          <w:szCs w:val="18"/>
        </w:rPr>
      </w:pPr>
      <w:bookmarkStart w:id="356" w:name="_Toc351203488"/>
      <w:r>
        <w:rPr>
          <w:rFonts w:hint="eastAsia" w:ascii="宋体" w:hAnsi="宋体" w:eastAsia="宋体" w:cs="宋体"/>
          <w:b/>
          <w:sz w:val="18"/>
          <w:szCs w:val="18"/>
        </w:rPr>
        <w:t xml:space="preserve">    八、词语含义</w:t>
      </w:r>
      <w:bookmarkEnd w:id="356"/>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bCs/>
          <w:sz w:val="18"/>
          <w:szCs w:val="18"/>
        </w:rPr>
      </w:pPr>
      <w:r>
        <w:rPr>
          <w:rFonts w:hint="eastAsia" w:ascii="宋体" w:hAnsi="宋体" w:eastAsia="宋体" w:cs="宋体"/>
          <w:bCs/>
          <w:sz w:val="18"/>
          <w:szCs w:val="18"/>
        </w:rPr>
        <w:t>本协议书中词语含义与第二部分通用合同条款中赋予的含义相同。</w:t>
      </w:r>
    </w:p>
    <w:p>
      <w:pPr>
        <w:pageBreakBefore w:val="0"/>
        <w:widowControl w:val="0"/>
        <w:kinsoku/>
        <w:wordWrap/>
        <w:overflowPunct/>
        <w:topLinePunct w:val="0"/>
        <w:bidi w:val="0"/>
        <w:snapToGrid/>
        <w:spacing w:before="0" w:after="0" w:line="240" w:lineRule="auto"/>
        <w:textAlignment w:val="auto"/>
        <w:outlineLvl w:val="9"/>
        <w:rPr>
          <w:rFonts w:hint="eastAsia" w:ascii="宋体" w:hAnsi="宋体" w:eastAsia="宋体" w:cs="宋体"/>
          <w:bCs w:val="0"/>
          <w:sz w:val="18"/>
          <w:szCs w:val="18"/>
        </w:rPr>
      </w:pPr>
      <w:r>
        <w:rPr>
          <w:rFonts w:hint="eastAsia" w:ascii="宋体" w:hAnsi="宋体" w:eastAsia="宋体" w:cs="宋体"/>
          <w:bCs w:val="0"/>
          <w:sz w:val="18"/>
          <w:szCs w:val="18"/>
        </w:rPr>
        <w:t xml:space="preserve">  </w:t>
      </w:r>
      <w:r>
        <w:rPr>
          <w:rFonts w:hint="eastAsia" w:ascii="宋体" w:hAnsi="宋体" w:eastAsia="宋体" w:cs="宋体"/>
          <w:b w:val="0"/>
          <w:sz w:val="18"/>
          <w:szCs w:val="18"/>
        </w:rPr>
        <w:t xml:space="preserve">  </w:t>
      </w:r>
      <w:bookmarkStart w:id="357" w:name="_Toc351203489"/>
      <w:r>
        <w:rPr>
          <w:rFonts w:hint="eastAsia" w:ascii="宋体" w:hAnsi="宋体" w:eastAsia="宋体" w:cs="宋体"/>
          <w:b w:val="0"/>
          <w:sz w:val="18"/>
          <w:szCs w:val="18"/>
        </w:rPr>
        <w:t>九、签订时间</w:t>
      </w:r>
      <w:bookmarkEnd w:id="357"/>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bCs/>
          <w:sz w:val="18"/>
          <w:szCs w:val="18"/>
        </w:rPr>
      </w:pPr>
      <w:r>
        <w:rPr>
          <w:rFonts w:hint="eastAsia" w:ascii="宋体" w:hAnsi="宋体" w:eastAsia="宋体" w:cs="宋体"/>
          <w:bCs/>
          <w:sz w:val="18"/>
          <w:szCs w:val="18"/>
        </w:rPr>
        <w:t>本合同于</w:t>
      </w:r>
      <w:r>
        <w:rPr>
          <w:rFonts w:hint="eastAsia" w:ascii="宋体" w:hAnsi="宋体" w:eastAsia="宋体" w:cs="宋体"/>
          <w:bCs/>
          <w:sz w:val="18"/>
          <w:szCs w:val="18"/>
          <w:u w:val="single"/>
        </w:rPr>
        <w:t xml:space="preserve">         </w:t>
      </w:r>
      <w:r>
        <w:rPr>
          <w:rFonts w:hint="eastAsia" w:ascii="宋体" w:hAnsi="宋体" w:eastAsia="宋体" w:cs="宋体"/>
          <w:bCs/>
          <w:sz w:val="18"/>
          <w:szCs w:val="18"/>
        </w:rPr>
        <w:t>年</w:t>
      </w:r>
      <w:r>
        <w:rPr>
          <w:rFonts w:hint="eastAsia" w:ascii="宋体" w:hAnsi="宋体" w:eastAsia="宋体" w:cs="宋体"/>
          <w:bCs/>
          <w:sz w:val="18"/>
          <w:szCs w:val="18"/>
          <w:u w:val="single"/>
        </w:rPr>
        <w:t xml:space="preserve">    </w:t>
      </w:r>
      <w:r>
        <w:rPr>
          <w:rFonts w:hint="eastAsia" w:ascii="宋体" w:hAnsi="宋体" w:eastAsia="宋体" w:cs="宋体"/>
          <w:bCs/>
          <w:sz w:val="18"/>
          <w:szCs w:val="18"/>
        </w:rPr>
        <w:t>月</w:t>
      </w:r>
      <w:r>
        <w:rPr>
          <w:rFonts w:hint="eastAsia" w:ascii="宋体" w:hAnsi="宋体" w:eastAsia="宋体" w:cs="宋体"/>
          <w:bCs/>
          <w:sz w:val="18"/>
          <w:szCs w:val="18"/>
          <w:u w:val="single"/>
        </w:rPr>
        <w:t xml:space="preserve">    </w:t>
      </w:r>
      <w:r>
        <w:rPr>
          <w:rFonts w:hint="eastAsia" w:ascii="宋体" w:hAnsi="宋体" w:eastAsia="宋体" w:cs="宋体"/>
          <w:bCs/>
          <w:sz w:val="18"/>
          <w:szCs w:val="18"/>
        </w:rPr>
        <w:t>日签订。</w:t>
      </w:r>
    </w:p>
    <w:p>
      <w:pPr>
        <w:pageBreakBefore w:val="0"/>
        <w:widowControl w:val="0"/>
        <w:kinsoku/>
        <w:wordWrap/>
        <w:overflowPunct/>
        <w:topLinePunct w:val="0"/>
        <w:bidi w:val="0"/>
        <w:snapToGrid/>
        <w:spacing w:before="0" w:after="0" w:line="240" w:lineRule="auto"/>
        <w:textAlignment w:val="auto"/>
        <w:outlineLvl w:val="9"/>
        <w:rPr>
          <w:rFonts w:hint="eastAsia" w:ascii="宋体" w:hAnsi="宋体" w:eastAsia="宋体" w:cs="宋体"/>
          <w:bCs w:val="0"/>
          <w:sz w:val="18"/>
          <w:szCs w:val="18"/>
        </w:rPr>
      </w:pPr>
      <w:r>
        <w:rPr>
          <w:rFonts w:hint="eastAsia" w:ascii="宋体" w:hAnsi="宋体" w:eastAsia="宋体" w:cs="宋体"/>
          <w:bCs w:val="0"/>
          <w:sz w:val="18"/>
          <w:szCs w:val="18"/>
        </w:rPr>
        <w:t xml:space="preserve">    </w:t>
      </w:r>
      <w:bookmarkStart w:id="358" w:name="_Toc351203490"/>
      <w:r>
        <w:rPr>
          <w:rFonts w:hint="eastAsia" w:ascii="宋体" w:hAnsi="宋体" w:eastAsia="宋体" w:cs="宋体"/>
          <w:b w:val="0"/>
          <w:sz w:val="18"/>
          <w:szCs w:val="18"/>
        </w:rPr>
        <w:t>十、签订地点</w:t>
      </w:r>
      <w:bookmarkEnd w:id="358"/>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bCs/>
          <w:sz w:val="18"/>
          <w:szCs w:val="18"/>
        </w:rPr>
      </w:pPr>
      <w:r>
        <w:rPr>
          <w:rFonts w:hint="eastAsia" w:ascii="宋体" w:hAnsi="宋体" w:eastAsia="宋体" w:cs="宋体"/>
          <w:bCs/>
          <w:sz w:val="18"/>
          <w:szCs w:val="18"/>
        </w:rPr>
        <w:t>本合同在</w:t>
      </w:r>
      <w:r>
        <w:rPr>
          <w:rFonts w:hint="eastAsia" w:ascii="宋体" w:hAnsi="宋体" w:eastAsia="宋体" w:cs="宋体"/>
          <w:bCs/>
          <w:sz w:val="18"/>
          <w:szCs w:val="18"/>
          <w:u w:val="single"/>
        </w:rPr>
        <w:t xml:space="preserve">                                    </w:t>
      </w:r>
      <w:r>
        <w:rPr>
          <w:rFonts w:hint="eastAsia" w:ascii="宋体" w:hAnsi="宋体" w:eastAsia="宋体" w:cs="宋体"/>
          <w:bCs/>
          <w:sz w:val="18"/>
          <w:szCs w:val="18"/>
        </w:rPr>
        <w:t>签订。</w:t>
      </w:r>
    </w:p>
    <w:p>
      <w:pPr>
        <w:pageBreakBefore w:val="0"/>
        <w:widowControl w:val="0"/>
        <w:kinsoku/>
        <w:wordWrap/>
        <w:overflowPunct/>
        <w:topLinePunct w:val="0"/>
        <w:bidi w:val="0"/>
        <w:snapToGrid/>
        <w:spacing w:before="0" w:after="0" w:line="240" w:lineRule="auto"/>
        <w:textAlignment w:val="auto"/>
        <w:outlineLvl w:val="9"/>
        <w:rPr>
          <w:rFonts w:hint="eastAsia" w:ascii="宋体" w:hAnsi="宋体" w:eastAsia="宋体" w:cs="宋体"/>
          <w:bCs w:val="0"/>
          <w:sz w:val="18"/>
          <w:szCs w:val="18"/>
        </w:rPr>
      </w:pPr>
      <w:r>
        <w:rPr>
          <w:rFonts w:hint="eastAsia" w:ascii="宋体" w:hAnsi="宋体" w:eastAsia="宋体" w:cs="宋体"/>
          <w:bCs w:val="0"/>
          <w:sz w:val="18"/>
          <w:szCs w:val="18"/>
        </w:rPr>
        <w:t xml:space="preserve">    </w:t>
      </w:r>
      <w:bookmarkStart w:id="359" w:name="_Toc351203491"/>
      <w:r>
        <w:rPr>
          <w:rFonts w:hint="eastAsia" w:ascii="宋体" w:hAnsi="宋体" w:eastAsia="宋体" w:cs="宋体"/>
          <w:b w:val="0"/>
          <w:sz w:val="18"/>
          <w:szCs w:val="18"/>
        </w:rPr>
        <w:t>十一、补充协议</w:t>
      </w:r>
      <w:bookmarkEnd w:id="359"/>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b/>
          <w:bCs/>
          <w:sz w:val="18"/>
          <w:szCs w:val="18"/>
        </w:rPr>
      </w:pPr>
      <w:r>
        <w:rPr>
          <w:rFonts w:hint="eastAsia" w:ascii="宋体" w:hAnsi="宋体" w:eastAsia="宋体" w:cs="宋体"/>
          <w:bCs/>
          <w:sz w:val="18"/>
          <w:szCs w:val="18"/>
        </w:rPr>
        <w:t>合同未尽事宜，合同当事人另行签订补充协议，补充协议是合同的组成部分。</w:t>
      </w:r>
    </w:p>
    <w:p>
      <w:pPr>
        <w:pageBreakBefore w:val="0"/>
        <w:widowControl w:val="0"/>
        <w:kinsoku/>
        <w:wordWrap/>
        <w:overflowPunct/>
        <w:topLinePunct w:val="0"/>
        <w:bidi w:val="0"/>
        <w:snapToGrid/>
        <w:spacing w:before="0" w:after="0" w:line="240" w:lineRule="auto"/>
        <w:textAlignment w:val="auto"/>
        <w:outlineLvl w:val="9"/>
        <w:rPr>
          <w:rFonts w:hint="eastAsia" w:ascii="宋体" w:hAnsi="宋体" w:eastAsia="宋体" w:cs="宋体"/>
          <w:bCs w:val="0"/>
          <w:sz w:val="18"/>
          <w:szCs w:val="18"/>
        </w:rPr>
      </w:pPr>
      <w:r>
        <w:rPr>
          <w:rFonts w:hint="eastAsia" w:ascii="宋体" w:hAnsi="宋体" w:eastAsia="宋体" w:cs="宋体"/>
          <w:bCs w:val="0"/>
          <w:sz w:val="18"/>
          <w:szCs w:val="18"/>
        </w:rPr>
        <w:t xml:space="preserve">    </w:t>
      </w:r>
      <w:bookmarkStart w:id="360" w:name="_Toc351203492"/>
      <w:r>
        <w:rPr>
          <w:rFonts w:hint="eastAsia" w:ascii="宋体" w:hAnsi="宋体" w:eastAsia="宋体" w:cs="宋体"/>
          <w:b w:val="0"/>
          <w:sz w:val="18"/>
          <w:szCs w:val="18"/>
        </w:rPr>
        <w:t>十二、合同生效</w:t>
      </w:r>
      <w:bookmarkEnd w:id="360"/>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bCs/>
          <w:sz w:val="18"/>
          <w:szCs w:val="18"/>
        </w:rPr>
      </w:pPr>
      <w:r>
        <w:rPr>
          <w:rFonts w:hint="eastAsia" w:ascii="宋体" w:hAnsi="宋体" w:eastAsia="宋体" w:cs="宋体"/>
          <w:bCs/>
          <w:sz w:val="18"/>
          <w:szCs w:val="18"/>
        </w:rPr>
        <w:t>本合同自</w:t>
      </w:r>
      <w:r>
        <w:rPr>
          <w:rFonts w:hint="eastAsia" w:ascii="宋体" w:hAnsi="宋体" w:eastAsia="宋体" w:cs="宋体"/>
          <w:bCs/>
          <w:sz w:val="18"/>
          <w:szCs w:val="18"/>
          <w:u w:val="single"/>
        </w:rPr>
        <w:t xml:space="preserve">     双方签字盖章后     </w:t>
      </w:r>
      <w:r>
        <w:rPr>
          <w:rFonts w:hint="eastAsia" w:ascii="宋体" w:hAnsi="宋体" w:eastAsia="宋体" w:cs="宋体"/>
          <w:bCs/>
          <w:sz w:val="18"/>
          <w:szCs w:val="18"/>
        </w:rPr>
        <w:t>生效。</w:t>
      </w:r>
    </w:p>
    <w:p>
      <w:pPr>
        <w:pageBreakBefore w:val="0"/>
        <w:widowControl w:val="0"/>
        <w:kinsoku/>
        <w:wordWrap/>
        <w:overflowPunct/>
        <w:topLinePunct w:val="0"/>
        <w:bidi w:val="0"/>
        <w:snapToGrid/>
        <w:spacing w:before="0" w:after="0" w:line="240" w:lineRule="auto"/>
        <w:textAlignment w:val="auto"/>
        <w:outlineLvl w:val="9"/>
        <w:rPr>
          <w:rFonts w:hint="eastAsia" w:ascii="宋体" w:hAnsi="宋体" w:eastAsia="宋体" w:cs="宋体"/>
          <w:bCs w:val="0"/>
          <w:sz w:val="18"/>
          <w:szCs w:val="18"/>
        </w:rPr>
      </w:pPr>
      <w:r>
        <w:rPr>
          <w:rFonts w:hint="eastAsia" w:ascii="宋体" w:hAnsi="宋体" w:eastAsia="宋体" w:cs="宋体"/>
          <w:bCs w:val="0"/>
          <w:sz w:val="18"/>
          <w:szCs w:val="18"/>
        </w:rPr>
        <w:t xml:space="preserve">    </w:t>
      </w:r>
      <w:bookmarkStart w:id="361" w:name="_Toc351203493"/>
      <w:r>
        <w:rPr>
          <w:rFonts w:hint="eastAsia" w:ascii="宋体" w:hAnsi="宋体" w:eastAsia="宋体" w:cs="宋体"/>
          <w:b w:val="0"/>
          <w:sz w:val="18"/>
          <w:szCs w:val="18"/>
        </w:rPr>
        <w:t>十三、合同份数</w:t>
      </w:r>
      <w:bookmarkEnd w:id="361"/>
    </w:p>
    <w:p>
      <w:pPr>
        <w:pageBreakBefore w:val="0"/>
        <w:widowControl w:val="0"/>
        <w:kinsoku/>
        <w:wordWrap/>
        <w:overflowPunct/>
        <w:topLinePunct w:val="0"/>
        <w:bidi w:val="0"/>
        <w:snapToGrid/>
        <w:spacing w:after="0" w:line="240" w:lineRule="auto"/>
        <w:ind w:firstLine="360" w:firstLineChars="200"/>
        <w:textAlignment w:val="auto"/>
        <w:outlineLvl w:val="9"/>
        <w:rPr>
          <w:rFonts w:hint="eastAsia" w:ascii="宋体" w:hAnsi="宋体" w:eastAsia="宋体" w:cs="宋体"/>
          <w:bCs/>
          <w:sz w:val="18"/>
          <w:szCs w:val="18"/>
        </w:rPr>
      </w:pPr>
      <w:r>
        <w:rPr>
          <w:rFonts w:hint="eastAsia" w:ascii="宋体" w:hAnsi="宋体" w:eastAsia="宋体" w:cs="宋体"/>
          <w:bCs/>
          <w:sz w:val="18"/>
          <w:szCs w:val="18"/>
        </w:rPr>
        <w:t>本合同一式</w:t>
      </w:r>
      <w:r>
        <w:rPr>
          <w:rFonts w:hint="eastAsia" w:ascii="宋体" w:hAnsi="宋体" w:eastAsia="宋体" w:cs="宋体"/>
          <w:bCs/>
          <w:sz w:val="18"/>
          <w:szCs w:val="18"/>
          <w:u w:val="single"/>
        </w:rPr>
        <w:t xml:space="preserve"> 陆 </w:t>
      </w:r>
      <w:r>
        <w:rPr>
          <w:rFonts w:hint="eastAsia" w:ascii="宋体" w:hAnsi="宋体" w:eastAsia="宋体" w:cs="宋体"/>
          <w:bCs/>
          <w:sz w:val="18"/>
          <w:szCs w:val="18"/>
        </w:rPr>
        <w:t>份，均具有同等法律效力，发包人执</w:t>
      </w:r>
      <w:r>
        <w:rPr>
          <w:rFonts w:hint="eastAsia" w:ascii="宋体" w:hAnsi="宋体" w:eastAsia="宋体" w:cs="宋体"/>
          <w:bCs/>
          <w:sz w:val="18"/>
          <w:szCs w:val="18"/>
          <w:u w:val="single"/>
        </w:rPr>
        <w:t xml:space="preserve"> 肆 </w:t>
      </w:r>
      <w:r>
        <w:rPr>
          <w:rFonts w:hint="eastAsia" w:ascii="宋体" w:hAnsi="宋体" w:eastAsia="宋体" w:cs="宋体"/>
          <w:bCs/>
          <w:sz w:val="18"/>
          <w:szCs w:val="18"/>
        </w:rPr>
        <w:t>份，承包人执</w:t>
      </w:r>
      <w:r>
        <w:rPr>
          <w:rFonts w:hint="eastAsia" w:ascii="宋体" w:hAnsi="宋体" w:eastAsia="宋体" w:cs="宋体"/>
          <w:bCs/>
          <w:sz w:val="18"/>
          <w:szCs w:val="18"/>
          <w:u w:val="single"/>
        </w:rPr>
        <w:t xml:space="preserve"> 贰 </w:t>
      </w:r>
      <w:r>
        <w:rPr>
          <w:rFonts w:hint="eastAsia" w:ascii="宋体" w:hAnsi="宋体" w:eastAsia="宋体" w:cs="宋体"/>
          <w:bCs/>
          <w:sz w:val="18"/>
          <w:szCs w:val="18"/>
        </w:rPr>
        <w:t>份。</w:t>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bCs/>
          <w:sz w:val="18"/>
          <w:szCs w:val="18"/>
        </w:rPr>
      </w:pP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sz w:val="18"/>
          <w:szCs w:val="18"/>
        </w:rPr>
      </w:pP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sz w:val="18"/>
          <w:szCs w:val="18"/>
        </w:rPr>
      </w:pPr>
      <w:r>
        <w:rPr>
          <w:rFonts w:hint="eastAsia" w:ascii="宋体" w:hAnsi="宋体" w:eastAsia="宋体" w:cs="宋体"/>
          <w:sz w:val="18"/>
          <w:szCs w:val="18"/>
        </w:rPr>
        <w:t>发包人：  (公章)             承包人：  (公章)</w:t>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sz w:val="18"/>
          <w:szCs w:val="18"/>
          <w:u w:val="single"/>
        </w:rPr>
      </w:pPr>
      <w:r>
        <w:rPr>
          <w:rFonts w:hint="eastAsia" w:ascii="宋体" w:hAnsi="宋体" w:eastAsia="宋体" w:cs="宋体"/>
          <w:sz w:val="18"/>
          <w:szCs w:val="18"/>
        </w:rPr>
        <w:t xml:space="preserve">                                 </w:t>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sz w:val="18"/>
          <w:szCs w:val="18"/>
        </w:rPr>
      </w:pPr>
      <w:r>
        <w:rPr>
          <w:rFonts w:hint="eastAsia" w:ascii="宋体" w:hAnsi="宋体" w:eastAsia="宋体" w:cs="宋体"/>
          <w:sz w:val="18"/>
          <w:szCs w:val="18"/>
        </w:rPr>
        <w:t>法定代表人或其委托代理人：  法定代表人或其委托代理人：</w:t>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sz w:val="18"/>
          <w:szCs w:val="18"/>
        </w:rPr>
      </w:pPr>
      <w:r>
        <w:rPr>
          <w:rFonts w:hint="eastAsia" w:ascii="宋体" w:hAnsi="宋体" w:eastAsia="宋体" w:cs="宋体"/>
          <w:sz w:val="18"/>
          <w:szCs w:val="18"/>
        </w:rPr>
        <w:t>（签字）                    （签字）</w:t>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sz w:val="18"/>
          <w:szCs w:val="18"/>
          <w:u w:val="single"/>
        </w:rPr>
      </w:pPr>
    </w:p>
    <w:p>
      <w:pPr>
        <w:pageBreakBefore w:val="0"/>
        <w:widowControl w:val="0"/>
        <w:tabs>
          <w:tab w:val="left" w:pos="4410"/>
        </w:tabs>
        <w:kinsoku/>
        <w:wordWrap/>
        <w:overflowPunct/>
        <w:topLinePunct w:val="0"/>
        <w:bidi w:val="0"/>
        <w:snapToGrid/>
        <w:spacing w:after="0" w:line="240" w:lineRule="auto"/>
        <w:textAlignment w:val="auto"/>
        <w:outlineLvl w:val="9"/>
        <w:rPr>
          <w:rFonts w:hint="eastAsia" w:ascii="宋体" w:hAnsi="宋体" w:eastAsia="宋体" w:cs="宋体"/>
          <w:sz w:val="18"/>
          <w:szCs w:val="18"/>
        </w:rPr>
      </w:pPr>
      <w:r>
        <w:rPr>
          <w:rFonts w:hint="eastAsia" w:ascii="宋体" w:hAnsi="宋体" w:eastAsia="宋体" w:cs="宋体"/>
          <w:sz w:val="18"/>
          <w:szCs w:val="18"/>
        </w:rPr>
        <w:t>组织机构代码：</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rPr>
        <w:t xml:space="preserve">  组织机构代码：</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rPr>
        <w:t xml:space="preserve"> </w:t>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sz w:val="18"/>
          <w:szCs w:val="18"/>
        </w:rPr>
      </w:pPr>
      <w:r>
        <w:rPr>
          <w:rFonts w:hint="eastAsia" w:ascii="宋体" w:hAnsi="宋体" w:eastAsia="宋体" w:cs="宋体"/>
          <w:sz w:val="18"/>
          <w:szCs w:val="18"/>
        </w:rPr>
        <w:t>地  址：</w:t>
      </w:r>
      <w:r>
        <w:rPr>
          <w:rFonts w:hint="eastAsia" w:ascii="宋体" w:hAnsi="宋体" w:eastAsia="宋体" w:cs="宋体"/>
          <w:sz w:val="18"/>
          <w:szCs w:val="18"/>
          <w:u w:val="single"/>
        </w:rPr>
        <w:t xml:space="preserve">     </w:t>
      </w:r>
      <w:r>
        <w:rPr>
          <w:rFonts w:hint="eastAsia" w:ascii="宋体" w:hAnsi="宋体" w:eastAsia="宋体" w:cs="宋体"/>
          <w:sz w:val="18"/>
          <w:szCs w:val="18"/>
        </w:rPr>
        <w:t xml:space="preserve">  地  址：</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sz w:val="18"/>
          <w:szCs w:val="18"/>
        </w:rPr>
      </w:pPr>
      <w:r>
        <w:rPr>
          <w:rFonts w:hint="eastAsia" w:ascii="宋体" w:hAnsi="宋体" w:eastAsia="宋体" w:cs="宋体"/>
          <w:sz w:val="18"/>
          <w:szCs w:val="18"/>
        </w:rPr>
        <w:t>邮政编码：</w:t>
      </w:r>
      <w:r>
        <w:rPr>
          <w:rFonts w:hint="eastAsia" w:ascii="宋体" w:hAnsi="宋体" w:eastAsia="宋体" w:cs="宋体"/>
          <w:sz w:val="18"/>
          <w:szCs w:val="18"/>
          <w:u w:val="single"/>
        </w:rPr>
        <w:t xml:space="preserve">  </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rPr>
        <w:t xml:space="preserve">  邮政编码：</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sz w:val="18"/>
          <w:szCs w:val="18"/>
        </w:rPr>
      </w:pPr>
      <w:r>
        <w:rPr>
          <w:rFonts w:hint="eastAsia" w:ascii="宋体" w:hAnsi="宋体" w:eastAsia="宋体" w:cs="宋体"/>
          <w:sz w:val="18"/>
          <w:szCs w:val="18"/>
        </w:rPr>
        <w:t>法定代表人：</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rPr>
        <w:t xml:space="preserve">  法定代表人：</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sz w:val="18"/>
          <w:szCs w:val="18"/>
        </w:rPr>
      </w:pPr>
      <w:r>
        <w:rPr>
          <w:rFonts w:hint="eastAsia" w:ascii="宋体" w:hAnsi="宋体" w:eastAsia="宋体" w:cs="宋体"/>
          <w:sz w:val="18"/>
          <w:szCs w:val="18"/>
        </w:rPr>
        <w:t>委托代理人：</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rPr>
        <w:t xml:space="preserve">  委托代理人：</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sz w:val="18"/>
          <w:szCs w:val="18"/>
        </w:rPr>
      </w:pPr>
      <w:r>
        <w:rPr>
          <w:rFonts w:hint="eastAsia" w:ascii="宋体" w:hAnsi="宋体" w:eastAsia="宋体" w:cs="宋体"/>
          <w:sz w:val="18"/>
          <w:szCs w:val="18"/>
        </w:rPr>
        <w:t>电  话：</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rPr>
        <w:t xml:space="preserve">  电  话：</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sz w:val="18"/>
          <w:szCs w:val="18"/>
        </w:rPr>
      </w:pPr>
      <w:r>
        <w:rPr>
          <w:rFonts w:hint="eastAsia" w:ascii="宋体" w:hAnsi="宋体" w:eastAsia="宋体" w:cs="宋体"/>
          <w:sz w:val="18"/>
          <w:szCs w:val="18"/>
        </w:rPr>
        <w:t>传  真：</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rPr>
        <w:t xml:space="preserve">  传  真：</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sz w:val="18"/>
          <w:szCs w:val="18"/>
        </w:rPr>
      </w:pPr>
      <w:r>
        <w:rPr>
          <w:rFonts w:hint="eastAsia" w:ascii="宋体" w:hAnsi="宋体" w:eastAsia="宋体" w:cs="宋体"/>
          <w:sz w:val="18"/>
          <w:szCs w:val="18"/>
        </w:rPr>
        <w:t>电子信箱：</w:t>
      </w:r>
      <w:r>
        <w:rPr>
          <w:rFonts w:hint="eastAsia" w:ascii="宋体" w:hAnsi="宋体" w:eastAsia="宋体" w:cs="宋体"/>
          <w:sz w:val="18"/>
          <w:szCs w:val="18"/>
          <w:u w:val="single"/>
        </w:rPr>
        <w:t xml:space="preserve">                 </w:t>
      </w:r>
      <w:r>
        <w:rPr>
          <w:rFonts w:hint="eastAsia" w:ascii="宋体" w:hAnsi="宋体" w:eastAsia="宋体" w:cs="宋体"/>
          <w:sz w:val="18"/>
          <w:szCs w:val="18"/>
        </w:rPr>
        <w:t xml:space="preserve">  电子信箱：</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sz w:val="18"/>
          <w:szCs w:val="18"/>
        </w:rPr>
      </w:pPr>
      <w:r>
        <w:rPr>
          <w:rFonts w:hint="eastAsia" w:ascii="宋体" w:hAnsi="宋体" w:eastAsia="宋体" w:cs="宋体"/>
          <w:sz w:val="18"/>
          <w:szCs w:val="18"/>
        </w:rPr>
        <w:t>开户银行：</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rPr>
        <w:t xml:space="preserve">  开户银行：</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p>
    <w:p>
      <w:pPr>
        <w:pageBreakBefore w:val="0"/>
        <w:widowControl w:val="0"/>
        <w:kinsoku/>
        <w:wordWrap/>
        <w:overflowPunct/>
        <w:topLinePunct w:val="0"/>
        <w:bidi w:val="0"/>
        <w:snapToGrid/>
        <w:spacing w:after="0" w:line="240" w:lineRule="auto"/>
        <w:textAlignment w:val="auto"/>
        <w:outlineLvl w:val="9"/>
        <w:rPr>
          <w:rFonts w:hint="eastAsia" w:ascii="宋体" w:hAnsi="宋体" w:eastAsia="宋体" w:cs="宋体"/>
          <w:sz w:val="18"/>
          <w:szCs w:val="18"/>
        </w:rPr>
      </w:pPr>
      <w:r>
        <w:rPr>
          <w:rFonts w:hint="eastAsia" w:ascii="宋体" w:hAnsi="宋体" w:eastAsia="宋体" w:cs="宋体"/>
          <w:sz w:val="18"/>
          <w:szCs w:val="18"/>
        </w:rPr>
        <w:t>账  号：</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r>
        <w:rPr>
          <w:rFonts w:hint="eastAsia" w:ascii="宋体" w:hAnsi="宋体" w:eastAsia="宋体" w:cs="宋体"/>
          <w:sz w:val="18"/>
          <w:szCs w:val="18"/>
        </w:rPr>
        <w:t xml:space="preserve">   账  号：</w:t>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sym w:font="宋体" w:char="E5E5"/>
      </w:r>
      <w:r>
        <w:rPr>
          <w:rFonts w:hint="eastAsia" w:ascii="宋体" w:hAnsi="宋体" w:eastAsia="宋体" w:cs="宋体"/>
          <w:sz w:val="18"/>
          <w:szCs w:val="18"/>
          <w:u w:val="single"/>
        </w:rPr>
        <w:t xml:space="preserve">     </w:t>
      </w:r>
    </w:p>
    <w:p>
      <w:pPr>
        <w:spacing w:after="0" w:line="400" w:lineRule="exact"/>
        <w:ind w:firstLine="360" w:firstLineChars="200"/>
        <w:jc w:val="center"/>
        <w:outlineLvl w:val="9"/>
        <w:rPr>
          <w:rFonts w:hint="eastAsia" w:ascii="宋体" w:hAnsi="宋体" w:eastAsia="宋体" w:cs="宋体"/>
          <w:sz w:val="21"/>
          <w:szCs w:val="21"/>
        </w:rPr>
      </w:pPr>
      <w:r>
        <w:rPr>
          <w:rFonts w:hint="eastAsia" w:ascii="宋体" w:hAnsi="宋体" w:eastAsia="宋体" w:cs="宋体"/>
          <w:sz w:val="18"/>
          <w:szCs w:val="18"/>
        </w:rPr>
        <w:br w:type="page"/>
      </w:r>
      <w:r>
        <w:rPr>
          <w:rFonts w:hint="eastAsia" w:ascii="宋体" w:hAnsi="宋体" w:eastAsia="宋体" w:cs="宋体"/>
          <w:sz w:val="21"/>
          <w:szCs w:val="21"/>
        </w:rPr>
        <w:t>第二部分 通用合同条款</w:t>
      </w:r>
    </w:p>
    <w:p>
      <w:pPr>
        <w:spacing w:line="400" w:lineRule="exact"/>
        <w:ind w:firstLine="420" w:firstLineChars="200"/>
        <w:outlineLvl w:val="9"/>
        <w:rPr>
          <w:rFonts w:hint="eastAsia" w:ascii="宋体" w:hAnsi="宋体" w:eastAsia="宋体" w:cs="宋体"/>
        </w:rPr>
      </w:pPr>
    </w:p>
    <w:p>
      <w:pPr>
        <w:spacing w:line="400" w:lineRule="exact"/>
        <w:ind w:firstLine="420" w:firstLineChars="200"/>
        <w:outlineLvl w:val="9"/>
        <w:rPr>
          <w:rFonts w:hint="eastAsia" w:ascii="宋体" w:hAnsi="宋体" w:eastAsia="宋体" w:cs="宋体"/>
        </w:rPr>
      </w:pPr>
      <w:r>
        <w:rPr>
          <w:rFonts w:hint="eastAsia" w:ascii="宋体" w:hAnsi="宋体" w:eastAsia="宋体" w:cs="宋体"/>
        </w:rPr>
        <w:t>通用合同条款内容详见住房和城乡建设部、国家工商行政管理总局《建设工程施工合同》（示范文本）（GF—2013—0201）第二部分通用合同条款。</w:t>
      </w:r>
    </w:p>
    <w:p>
      <w:pPr>
        <w:spacing w:line="400" w:lineRule="exact"/>
        <w:ind w:firstLine="723" w:firstLineChars="200"/>
        <w:outlineLvl w:val="9"/>
        <w:rPr>
          <w:rFonts w:hint="eastAsia" w:ascii="宋体" w:hAnsi="宋体" w:eastAsia="宋体" w:cs="宋体"/>
        </w:rPr>
      </w:pPr>
      <w:r>
        <w:rPr>
          <w:rFonts w:hint="eastAsia" w:ascii="宋体" w:hAnsi="宋体" w:eastAsia="宋体" w:cs="宋体"/>
          <w:b/>
          <w:sz w:val="36"/>
          <w:szCs w:val="36"/>
        </w:rPr>
        <w:br w:type="page"/>
      </w:r>
    </w:p>
    <w:p>
      <w:pPr>
        <w:spacing w:after="0" w:line="400" w:lineRule="exact"/>
        <w:ind w:firstLine="420" w:firstLineChars="200"/>
        <w:jc w:val="center"/>
        <w:outlineLvl w:val="9"/>
        <w:rPr>
          <w:rFonts w:hint="eastAsia" w:ascii="宋体" w:hAnsi="宋体" w:eastAsia="宋体" w:cs="宋体"/>
          <w:sz w:val="21"/>
          <w:szCs w:val="21"/>
        </w:rPr>
      </w:pPr>
      <w:bookmarkStart w:id="362" w:name="_Toc436634431"/>
      <w:bookmarkStart w:id="363" w:name="_Toc436634545"/>
      <w:bookmarkStart w:id="364" w:name="_Toc425929287"/>
      <w:bookmarkStart w:id="365" w:name="_Toc391711935"/>
      <w:bookmarkStart w:id="366" w:name="_Toc436634940"/>
      <w:r>
        <w:rPr>
          <w:rFonts w:hint="eastAsia" w:ascii="宋体" w:hAnsi="宋体" w:eastAsia="宋体" w:cs="宋体"/>
          <w:sz w:val="21"/>
          <w:szCs w:val="21"/>
        </w:rPr>
        <w:t>第三部分 专用合同条款</w:t>
      </w:r>
      <w:bookmarkEnd w:id="362"/>
      <w:bookmarkEnd w:id="363"/>
      <w:bookmarkEnd w:id="364"/>
      <w:bookmarkEnd w:id="365"/>
      <w:bookmarkEnd w:id="366"/>
    </w:p>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r>
        <w:rPr>
          <w:rFonts w:hint="eastAsia" w:ascii="宋体" w:hAnsi="宋体" w:eastAsia="宋体" w:cs="宋体"/>
          <w:sz w:val="21"/>
          <w:szCs w:val="21"/>
        </w:rPr>
        <w:t>　</w:t>
      </w:r>
      <w:bookmarkStart w:id="367" w:name="_Toc391711936"/>
      <w:bookmarkStart w:id="368" w:name="_Toc351203633"/>
      <w:bookmarkStart w:id="369" w:name="_Toc391711791"/>
      <w:r>
        <w:rPr>
          <w:rFonts w:hint="eastAsia" w:ascii="宋体" w:hAnsi="宋体" w:eastAsia="宋体" w:cs="宋体"/>
          <w:b w:val="0"/>
          <w:sz w:val="21"/>
          <w:szCs w:val="21"/>
        </w:rPr>
        <w:t>1</w:t>
      </w:r>
      <w:bookmarkStart w:id="370" w:name="_Toc296944495"/>
      <w:bookmarkStart w:id="371" w:name="_Toc296503156"/>
      <w:bookmarkStart w:id="372" w:name="_Toc296891196"/>
      <w:bookmarkStart w:id="373" w:name="_Toc297048342"/>
      <w:bookmarkStart w:id="374" w:name="_Toc297120456"/>
      <w:bookmarkStart w:id="375" w:name="_Toc296890984"/>
      <w:bookmarkStart w:id="376" w:name="_Toc296347155"/>
      <w:bookmarkStart w:id="377" w:name="_Toc292559361"/>
      <w:bookmarkStart w:id="378" w:name="_Toc292559866"/>
      <w:bookmarkStart w:id="379" w:name="_Toc296346657"/>
      <w:r>
        <w:rPr>
          <w:rFonts w:hint="eastAsia" w:ascii="宋体" w:hAnsi="宋体" w:eastAsia="宋体" w:cs="宋体"/>
          <w:b w:val="0"/>
          <w:sz w:val="21"/>
          <w:szCs w:val="21"/>
        </w:rPr>
        <w:t>. 一般约定</w:t>
      </w:r>
      <w:bookmarkEnd w:id="367"/>
      <w:bookmarkEnd w:id="368"/>
      <w:bookmarkEnd w:id="369"/>
    </w:p>
    <w:bookmarkEnd w:id="370"/>
    <w:bookmarkEnd w:id="371"/>
    <w:bookmarkEnd w:id="372"/>
    <w:bookmarkEnd w:id="373"/>
    <w:bookmarkEnd w:id="374"/>
    <w:bookmarkEnd w:id="375"/>
    <w:bookmarkEnd w:id="376"/>
    <w:bookmarkEnd w:id="377"/>
    <w:bookmarkEnd w:id="378"/>
    <w:bookmarkEnd w:id="379"/>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1.1 词语定义</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1.1.1合同</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1.1.1.10其他合同文件包括：</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1.1.2 合同当事人及其他相关方</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1.1.2.4监理人：</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名    称：</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资质类别和等级：</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联系电话：</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电子信箱：</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通信地址：</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1.1.2.5 设计人：</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名    称：</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资质类别和等级：</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联系电话：</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电子信箱：</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通信地址：</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1.1.3 工程和设备</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1.1.3.7 作为施工现场组成部分的其他场所包括：</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1.1.3.9 永久占地包括：</w:t>
      </w:r>
      <w:r>
        <w:rPr>
          <w:rFonts w:hint="eastAsia" w:ascii="宋体" w:hAnsi="宋体" w:eastAsia="宋体" w:cs="宋体"/>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kern w:val="0"/>
          <w:szCs w:val="21"/>
        </w:rPr>
        <w:t>1.1.3.10 临时占地包括：</w:t>
      </w:r>
      <w:r>
        <w:rPr>
          <w:rFonts w:hint="eastAsia" w:ascii="宋体" w:hAnsi="宋体" w:eastAsia="宋体" w:cs="宋体"/>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 xml:space="preserve">1.3法律 </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适用于合同的其他规范性文件：</w:t>
      </w:r>
      <w:r>
        <w:rPr>
          <w:rFonts w:hint="eastAsia" w:ascii="宋体" w:hAnsi="宋体" w:eastAsia="宋体" w:cs="宋体"/>
          <w:szCs w:val="21"/>
          <w:u w:val="single"/>
        </w:rPr>
        <w:t xml:space="preserve">  按通用合同条款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1.4 标准和规范</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1.4.1适用于工程的标准规范包括：</w:t>
      </w:r>
      <w:r>
        <w:rPr>
          <w:rFonts w:hint="eastAsia" w:ascii="宋体" w:hAnsi="宋体" w:eastAsia="宋体" w:cs="宋体"/>
          <w:szCs w:val="21"/>
          <w:u w:val="single"/>
        </w:rPr>
        <w:t xml:space="preserve">  按国家现行的验收规范和标准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1.4.2 发包人提供国外标准、规范的名称：</w:t>
      </w:r>
      <w:r>
        <w:rPr>
          <w:rFonts w:hint="eastAsia" w:ascii="宋体" w:hAnsi="宋体" w:eastAsia="宋体" w:cs="宋体"/>
          <w:kern w:val="0"/>
          <w:szCs w:val="21"/>
          <w:u w:val="single"/>
        </w:rPr>
        <w:t xml:space="preserve">    无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发包人提供国外标准、规范的份数：</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kern w:val="0"/>
          <w:szCs w:val="21"/>
        </w:rPr>
        <w:t>发包人提供国外标准、规范的名称：</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1.4.3发包人对工程的技术标准和功能要求的特殊要求：</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1.5 合同文件的优先顺序</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合同文件组成及优先顺序为：</w:t>
      </w:r>
      <w:r>
        <w:rPr>
          <w:rFonts w:hint="eastAsia" w:ascii="宋体" w:hAnsi="宋体" w:eastAsia="宋体" w:cs="宋体"/>
          <w:bCs/>
          <w:spacing w:val="-2"/>
          <w:szCs w:val="21"/>
          <w:u w:val="single"/>
        </w:rPr>
        <w:t>按《通用条款》顺序解释</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1.6 图纸和承包人文件</w:t>
      </w:r>
      <w:r>
        <w:rPr>
          <w:rFonts w:hint="eastAsia" w:ascii="宋体" w:hAnsi="宋体" w:eastAsia="宋体" w:cs="宋体"/>
          <w:szCs w:val="21"/>
        </w:rPr>
        <w:tab/>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1.6.1 图纸的提供</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发包人向承包人提供图纸的期限：</w:t>
      </w:r>
      <w:r>
        <w:rPr>
          <w:rFonts w:hint="eastAsia" w:ascii="宋体" w:hAnsi="宋体" w:eastAsia="宋体" w:cs="宋体"/>
          <w:szCs w:val="21"/>
          <w:u w:val="single"/>
        </w:rPr>
        <w:t xml:space="preserve">       开工前7天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发包人向承包人提供图纸的数量：</w:t>
      </w:r>
      <w:r>
        <w:rPr>
          <w:rFonts w:hint="eastAsia" w:ascii="宋体" w:hAnsi="宋体" w:eastAsia="宋体" w:cs="宋体"/>
          <w:szCs w:val="21"/>
          <w:u w:val="single"/>
        </w:rPr>
        <w:t xml:space="preserve">          贰套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发包人向承包人提供图纸的内容：</w:t>
      </w:r>
      <w:r>
        <w:rPr>
          <w:rFonts w:hint="eastAsia" w:ascii="宋体" w:hAnsi="宋体" w:eastAsia="宋体" w:cs="宋体"/>
          <w:szCs w:val="21"/>
          <w:u w:val="single"/>
        </w:rPr>
        <w:t xml:space="preserve">   招标范围内所有工程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1.6.4 承包人文件</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需要由承包人提供的文件，包括：</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承包人提供的文件的期限为：</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承包人提供的文件的数量为：</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承包人提供的文件的形式为：</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发包人审批承包人文件的期限：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1.6.5 现场图纸准备</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关于现场图纸准备的约定：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1.7 联络</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1.7.1发包人和承包人应当在</w:t>
      </w:r>
      <w:r>
        <w:rPr>
          <w:rFonts w:hint="eastAsia" w:ascii="宋体" w:hAnsi="宋体" w:eastAsia="宋体" w:cs="宋体"/>
          <w:szCs w:val="21"/>
          <w:u w:val="single"/>
        </w:rPr>
        <w:t xml:space="preserve">    </w:t>
      </w:r>
      <w:r>
        <w:rPr>
          <w:rFonts w:hint="eastAsia" w:ascii="宋体" w:hAnsi="宋体" w:eastAsia="宋体" w:cs="宋体"/>
          <w:kern w:val="0"/>
          <w:szCs w:val="21"/>
        </w:rPr>
        <w:t>天内将与合同有关的通知、批准、证明、证书、指示、指令、要求、请求、同意、意见、确定和决定等书面函件送达对方当事人。</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1.7.2 发包人接收文件的地点：</w:t>
      </w:r>
      <w:r>
        <w:rPr>
          <w:rFonts w:hint="eastAsia" w:ascii="宋体" w:hAnsi="宋体" w:eastAsia="宋体" w:cs="宋体"/>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发包人指定的接收人为：</w:t>
      </w:r>
      <w:r>
        <w:rPr>
          <w:rFonts w:hint="eastAsia" w:ascii="宋体" w:hAnsi="宋体" w:eastAsia="宋体" w:cs="宋体"/>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承包人接收文件的地点：</w:t>
      </w:r>
      <w:r>
        <w:rPr>
          <w:rFonts w:hint="eastAsia" w:ascii="宋体" w:hAnsi="宋体" w:eastAsia="宋体" w:cs="宋体"/>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承包人指定的接收人为：</w:t>
      </w:r>
      <w:r>
        <w:rPr>
          <w:rFonts w:hint="eastAsia" w:ascii="宋体" w:hAnsi="宋体" w:eastAsia="宋体" w:cs="宋体"/>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监理人接收文件的地点：</w:t>
      </w:r>
      <w:r>
        <w:rPr>
          <w:rFonts w:hint="eastAsia" w:ascii="宋体" w:hAnsi="宋体" w:eastAsia="宋体" w:cs="宋体"/>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监理人指定的接收人为：</w:t>
      </w:r>
      <w:r>
        <w:rPr>
          <w:rFonts w:hint="eastAsia" w:ascii="宋体" w:hAnsi="宋体" w:eastAsia="宋体" w:cs="宋体"/>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1.10 交通运输</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w:t>
      </w:r>
      <w:bookmarkStart w:id="380" w:name="_Toc300934943"/>
      <w:bookmarkStart w:id="381" w:name="_Toc303539100"/>
      <w:bookmarkStart w:id="382" w:name="_Toc312677986"/>
      <w:bookmarkStart w:id="383" w:name="_Toc304295521"/>
      <w:bookmarkStart w:id="384" w:name="_Toc318581155"/>
      <w:r>
        <w:rPr>
          <w:rFonts w:hint="eastAsia" w:ascii="宋体" w:hAnsi="宋体" w:eastAsia="宋体" w:cs="宋体"/>
          <w:szCs w:val="21"/>
        </w:rPr>
        <w:t>.10.1 出入现场的权利</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关于出入现场的权利的约定：</w:t>
      </w:r>
      <w:r>
        <w:rPr>
          <w:rFonts w:hint="eastAsia" w:ascii="宋体" w:hAnsi="宋体" w:eastAsia="宋体" w:cs="宋体"/>
          <w:szCs w:val="21"/>
          <w:u w:val="single"/>
        </w:rPr>
        <w:t xml:space="preserve">                                         </w:t>
      </w:r>
      <w:r>
        <w:rPr>
          <w:rFonts w:hint="eastAsia" w:ascii="宋体" w:hAnsi="宋体" w:eastAsia="宋体" w:cs="宋体"/>
          <w:szCs w:val="21"/>
        </w:rPr>
        <w:t>。</w:t>
      </w:r>
    </w:p>
    <w:bookmarkEnd w:id="380"/>
    <w:bookmarkEnd w:id="381"/>
    <w:bookmarkEnd w:id="382"/>
    <w:bookmarkEnd w:id="383"/>
    <w:bookmarkEnd w:id="384"/>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w:t>
      </w:r>
      <w:bookmarkStart w:id="385" w:name="_Toc312677987"/>
      <w:bookmarkStart w:id="386" w:name="_Toc304295522"/>
      <w:bookmarkStart w:id="387" w:name="_Toc300934944"/>
      <w:bookmarkStart w:id="388" w:name="_Toc318581156"/>
      <w:bookmarkStart w:id="389" w:name="_Toc303539101"/>
      <w:r>
        <w:rPr>
          <w:rFonts w:hint="eastAsia" w:ascii="宋体" w:hAnsi="宋体" w:eastAsia="宋体" w:cs="宋体"/>
          <w:szCs w:val="21"/>
        </w:rPr>
        <w:t>.10.3 场内交通</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关于场外交通和场内交通的边界的约定：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关于发包人向承包人免费提供满足工程施工需要的场内道路和交通设施的约定：</w:t>
      </w:r>
      <w:r>
        <w:rPr>
          <w:rFonts w:hint="eastAsia" w:ascii="宋体" w:hAnsi="宋体" w:eastAsia="宋体" w:cs="宋体"/>
          <w:szCs w:val="21"/>
          <w:u w:val="single"/>
        </w:rPr>
        <w:t xml:space="preserve">        </w:t>
      </w:r>
      <w:r>
        <w:rPr>
          <w:rFonts w:hint="eastAsia" w:ascii="宋体" w:hAnsi="宋体" w:eastAsia="宋体" w:cs="宋体"/>
          <w:szCs w:val="21"/>
        </w:rPr>
        <w:t>。</w:t>
      </w:r>
      <w:bookmarkEnd w:id="385"/>
      <w:bookmarkEnd w:id="386"/>
      <w:bookmarkEnd w:id="387"/>
      <w:bookmarkEnd w:id="388"/>
      <w:bookmarkEnd w:id="389"/>
      <w:r>
        <w:rPr>
          <w:rFonts w:hint="eastAsia" w:ascii="宋体" w:hAnsi="宋体" w:eastAsia="宋体" w:cs="宋体"/>
          <w:szCs w:val="21"/>
        </w:rPr>
        <w:t xml:space="preserve">  </w:t>
      </w:r>
      <w:bookmarkStart w:id="390" w:name="_Toc318581157"/>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1.10.4超大件和超重件的运输</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运输超大件或超重件所需的道路和桥梁临时加固改造费用和其他有关费用由</w:t>
      </w:r>
      <w:r>
        <w:rPr>
          <w:rFonts w:hint="eastAsia" w:ascii="宋体" w:hAnsi="宋体" w:eastAsia="宋体" w:cs="宋体"/>
          <w:szCs w:val="21"/>
          <w:u w:val="single"/>
        </w:rPr>
        <w:t xml:space="preserve">          </w:t>
      </w:r>
      <w:r>
        <w:rPr>
          <w:rFonts w:hint="eastAsia" w:ascii="宋体" w:hAnsi="宋体" w:eastAsia="宋体" w:cs="宋体"/>
          <w:szCs w:val="21"/>
        </w:rPr>
        <w:t>承担。</w:t>
      </w:r>
    </w:p>
    <w:bookmarkEnd w:id="390"/>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1.11 知识产权</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1.11.1关于发包人提供给承包人的图纸、发包人为实施工程自行编制或委托编制的技术规范以及反映发包人关于合同要求或其他类似性质的文件的著作权的归属：</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关于发包人提供的上述文件的使用限制的要求：</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1.11.2 关于承包人为实施工程所编制文件的著作权的归属：</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 xml:space="preserve">关于承包人提供的上述文件的使用限制的要求： </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szCs w:val="21"/>
        </w:rPr>
        <w:t>1.11.4 承包人在施工过程中所采用的专利、专有技术、技术秘密的使用费的承担方式：</w:t>
      </w:r>
      <w:r>
        <w:rPr>
          <w:rFonts w:hint="eastAsia" w:ascii="宋体" w:hAnsi="宋体" w:eastAsia="宋体" w:cs="宋体"/>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1.13工程量清单错误的修正</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出现工程量清单错误时，是否调整合同价格：</w:t>
      </w:r>
      <w:r>
        <w:rPr>
          <w:rFonts w:hint="eastAsia" w:ascii="宋体" w:hAnsi="宋体" w:eastAsia="宋体" w:cs="宋体"/>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允许调整合同价格的工程量偏差范围：</w:t>
      </w:r>
      <w:r>
        <w:rPr>
          <w:rFonts w:hint="eastAsia" w:ascii="宋体" w:hAnsi="宋体" w:eastAsia="宋体" w:cs="宋体"/>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391" w:name="_Toc391711937"/>
      <w:bookmarkStart w:id="392" w:name="_Toc351203634"/>
      <w:bookmarkStart w:id="393" w:name="_Toc391711792"/>
      <w:r>
        <w:rPr>
          <w:rFonts w:hint="eastAsia" w:ascii="宋体" w:hAnsi="宋体" w:eastAsia="宋体" w:cs="宋体"/>
          <w:b w:val="0"/>
          <w:sz w:val="21"/>
          <w:szCs w:val="21"/>
        </w:rPr>
        <w:t>2</w:t>
      </w:r>
      <w:bookmarkStart w:id="394" w:name="_Toc296503157"/>
      <w:bookmarkStart w:id="395" w:name="_Toc297120457"/>
      <w:bookmarkStart w:id="396" w:name="_Toc296944496"/>
      <w:bookmarkStart w:id="397" w:name="_Toc296346658"/>
      <w:bookmarkStart w:id="398" w:name="_Toc296891197"/>
      <w:bookmarkStart w:id="399" w:name="_Toc296890985"/>
      <w:bookmarkStart w:id="400" w:name="_Toc296347156"/>
      <w:bookmarkStart w:id="401" w:name="_Toc297048343"/>
      <w:bookmarkStart w:id="402" w:name="_Toc292559867"/>
      <w:bookmarkStart w:id="403" w:name="_Toc292559362"/>
      <w:r>
        <w:rPr>
          <w:rFonts w:hint="eastAsia" w:ascii="宋体" w:hAnsi="宋体" w:eastAsia="宋体" w:cs="宋体"/>
          <w:b w:val="0"/>
          <w:sz w:val="21"/>
          <w:szCs w:val="21"/>
        </w:rPr>
        <w:t>. 发包人</w:t>
      </w:r>
      <w:bookmarkEnd w:id="391"/>
      <w:bookmarkEnd w:id="392"/>
      <w:bookmarkEnd w:id="393"/>
    </w:p>
    <w:bookmarkEnd w:id="394"/>
    <w:bookmarkEnd w:id="395"/>
    <w:bookmarkEnd w:id="396"/>
    <w:bookmarkEnd w:id="397"/>
    <w:bookmarkEnd w:id="398"/>
    <w:bookmarkEnd w:id="399"/>
    <w:bookmarkEnd w:id="400"/>
    <w:bookmarkEnd w:id="401"/>
    <w:bookmarkEnd w:id="402"/>
    <w:bookmarkEnd w:id="403"/>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2.2 发包人代表</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发包人代表：</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姓    名：</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身份证号：</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职    务：</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联系电话：</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电子信箱：</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通信地址：</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b/>
          <w:szCs w:val="21"/>
        </w:rPr>
      </w:pPr>
      <w:r>
        <w:rPr>
          <w:rFonts w:hint="eastAsia" w:ascii="宋体" w:hAnsi="宋体" w:eastAsia="宋体" w:cs="宋体"/>
          <w:szCs w:val="21"/>
        </w:rPr>
        <w:t>发包人对发包人代表的授权范围如下：</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2.4 施工现场、施工条件和基础资料的提供</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2.4.1 提供施工现场</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关于发包人移交施工现场的期限要求：</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2.4.2 提供施工条件</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关于发包人应负责提供施工所需要的条件，包括：</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2.5 资金来源证明及支付担保</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发包人提供资金来源证明的期限要求：</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发包人是否提供支付担保：</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发包人提供支付担保的形式：</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404" w:name="_Toc351203635"/>
      <w:bookmarkStart w:id="405" w:name="_Toc391711938"/>
      <w:bookmarkStart w:id="406" w:name="_Toc391711793"/>
      <w:r>
        <w:rPr>
          <w:rFonts w:hint="eastAsia" w:ascii="宋体" w:hAnsi="宋体" w:eastAsia="宋体" w:cs="宋体"/>
          <w:b w:val="0"/>
          <w:sz w:val="21"/>
          <w:szCs w:val="21"/>
        </w:rPr>
        <w:t>3</w:t>
      </w:r>
      <w:bookmarkStart w:id="407" w:name="_Toc296891198"/>
      <w:bookmarkStart w:id="408" w:name="_Toc296347157"/>
      <w:bookmarkStart w:id="409" w:name="_Toc296503158"/>
      <w:bookmarkStart w:id="410" w:name="_Toc297048344"/>
      <w:bookmarkStart w:id="411" w:name="_Toc296890986"/>
      <w:bookmarkStart w:id="412" w:name="_Toc292559868"/>
      <w:bookmarkStart w:id="413" w:name="_Toc296944497"/>
      <w:bookmarkStart w:id="414" w:name="_Toc296346659"/>
      <w:bookmarkStart w:id="415" w:name="_Toc292559363"/>
      <w:bookmarkStart w:id="416" w:name="_Toc297120458"/>
      <w:r>
        <w:rPr>
          <w:rFonts w:hint="eastAsia" w:ascii="宋体" w:hAnsi="宋体" w:eastAsia="宋体" w:cs="宋体"/>
          <w:b w:val="0"/>
          <w:sz w:val="21"/>
          <w:szCs w:val="21"/>
        </w:rPr>
        <w:t>. 承包人</w:t>
      </w:r>
      <w:bookmarkEnd w:id="404"/>
      <w:bookmarkEnd w:id="405"/>
      <w:bookmarkEnd w:id="406"/>
    </w:p>
    <w:bookmarkEnd w:id="407"/>
    <w:bookmarkEnd w:id="408"/>
    <w:bookmarkEnd w:id="409"/>
    <w:bookmarkEnd w:id="410"/>
    <w:bookmarkEnd w:id="411"/>
    <w:bookmarkEnd w:id="412"/>
    <w:bookmarkEnd w:id="413"/>
    <w:bookmarkEnd w:id="414"/>
    <w:bookmarkEnd w:id="415"/>
    <w:bookmarkEnd w:id="416"/>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3.1 承包人的一般义务</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kern w:val="0"/>
          <w:szCs w:val="21"/>
        </w:rPr>
        <w:t>（9）</w:t>
      </w:r>
      <w:r>
        <w:rPr>
          <w:rFonts w:hint="eastAsia" w:ascii="宋体" w:hAnsi="宋体" w:eastAsia="宋体" w:cs="宋体"/>
          <w:szCs w:val="21"/>
        </w:rPr>
        <w:t>承包人提交的竣工资料的内容：</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承包人需要提交的竣工资料套数：</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承包人提交的竣工资料的费用承担：</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承包人提交的竣工资料移交时间：</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承包人提交的竣工资料形式要求：</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kern w:val="0"/>
          <w:szCs w:val="21"/>
        </w:rPr>
        <w:t>（10）承包人应履行的其他义务：</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3.2 项目经理</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kern w:val="0"/>
          <w:szCs w:val="21"/>
        </w:rPr>
        <w:t xml:space="preserve">3.2.1 </w:t>
      </w:r>
      <w:r>
        <w:rPr>
          <w:rFonts w:hint="eastAsia" w:ascii="宋体" w:hAnsi="宋体" w:eastAsia="宋体" w:cs="宋体"/>
          <w:szCs w:val="21"/>
        </w:rPr>
        <w:t>项目经理：</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姓    名：</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身份证号：</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建造师执业资格等级：</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建造师注册证书号：</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建造师执业印章号：</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安全生产考核合格证书号：</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联系电话：</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 xml:space="preserve">电子信箱： </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通信地址：</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承包人对项目经理的授权范围如下：</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关于项目经理每月在施工现场的时间要求：</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承包人未提交劳动合同，以及没有为项目经理缴纳社会保险证明的违约责任：</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kern w:val="0"/>
          <w:szCs w:val="21"/>
        </w:rPr>
        <w:t>项目经理未经批准，擅自离开施工现场的违约责任：</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3.2.3 承包人擅自更换项目经理的违约责任：</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 xml:space="preserve">    3.2.4 承包人无正当理由拒绝更换项目经理的违约责任：</w:t>
      </w:r>
      <w:r>
        <w:rPr>
          <w:rFonts w:hint="eastAsia" w:ascii="宋体" w:hAnsi="宋体" w:eastAsia="宋体" w:cs="宋体"/>
          <w:szCs w:val="21"/>
          <w:u w:val="single"/>
        </w:rPr>
        <w:t>项目经理不得擅自更换</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3.3 承包人人员</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3.3.1 承包人提交项目管理机构及施工现场管理人员安排报告的期限：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3.3.3 承包人无正当理由拒绝撤换主要施工管理人员的违约责任：</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 xml:space="preserve">3.3.4 承包人主要施工管理人员离开施工现场的批准要求： </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3.3.5承包人擅自更换主要施工管理人员的违约责任：</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承包人主要施工管理人员擅自离开施工现场的违约责任：</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3</w:t>
      </w:r>
      <w:bookmarkStart w:id="417" w:name="_Toc296503159"/>
      <w:bookmarkStart w:id="418" w:name="_Toc297120459"/>
      <w:bookmarkStart w:id="419" w:name="_Toc297048345"/>
      <w:bookmarkStart w:id="420" w:name="_Toc304295523"/>
      <w:bookmarkStart w:id="421" w:name="_Toc296347158"/>
      <w:bookmarkStart w:id="422" w:name="_Toc312677988"/>
      <w:bookmarkStart w:id="423" w:name="_Toc303539102"/>
      <w:bookmarkStart w:id="424" w:name="_Toc296944498"/>
      <w:bookmarkStart w:id="425" w:name="_Toc297216151"/>
      <w:bookmarkStart w:id="426" w:name="_Toc296890987"/>
      <w:bookmarkStart w:id="427" w:name="_Toc297123492"/>
      <w:bookmarkStart w:id="428" w:name="_Toc296346660"/>
      <w:bookmarkStart w:id="429" w:name="_Toc296891199"/>
      <w:bookmarkStart w:id="430" w:name="_Toc300934945"/>
      <w:bookmarkStart w:id="431" w:name="_Toc292559364"/>
      <w:bookmarkStart w:id="432" w:name="_Toc292559869"/>
      <w:r>
        <w:rPr>
          <w:rFonts w:hint="eastAsia" w:ascii="宋体" w:hAnsi="宋体" w:eastAsia="宋体" w:cs="宋体"/>
          <w:szCs w:val="21"/>
        </w:rPr>
        <w:t>.5 分包</w:t>
      </w:r>
    </w:p>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3</w:t>
      </w:r>
      <w:bookmarkStart w:id="433" w:name="_Toc296346661"/>
      <w:bookmarkStart w:id="434" w:name="_Toc297120460"/>
      <w:bookmarkStart w:id="435" w:name="_Toc296890988"/>
      <w:bookmarkStart w:id="436" w:name="_Toc297216152"/>
      <w:bookmarkStart w:id="437" w:name="_Toc300934946"/>
      <w:bookmarkStart w:id="438" w:name="_Toc292559365"/>
      <w:bookmarkStart w:id="439" w:name="_Toc304295524"/>
      <w:bookmarkStart w:id="440" w:name="_Toc297048346"/>
      <w:bookmarkStart w:id="441" w:name="_Toc296503160"/>
      <w:bookmarkStart w:id="442" w:name="_Toc296944499"/>
      <w:bookmarkStart w:id="443" w:name="_Toc303539103"/>
      <w:bookmarkStart w:id="444" w:name="_Toc296891200"/>
      <w:bookmarkStart w:id="445" w:name="_Toc296347159"/>
      <w:bookmarkStart w:id="446" w:name="_Toc297123493"/>
      <w:bookmarkStart w:id="447" w:name="_Toc292559870"/>
      <w:bookmarkStart w:id="448" w:name="_Toc318581158"/>
      <w:bookmarkStart w:id="449" w:name="_Toc312677989"/>
      <w:r>
        <w:rPr>
          <w:rFonts w:hint="eastAsia" w:ascii="宋体" w:hAnsi="宋体" w:eastAsia="宋体" w:cs="宋体"/>
          <w:szCs w:val="21"/>
        </w:rPr>
        <w:t>.5.1 分包的一般约定</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禁止分包的工程包括：</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主体结构、关键性工作的范围：</w:t>
      </w:r>
      <w:r>
        <w:rPr>
          <w:rFonts w:hint="eastAsia" w:ascii="宋体" w:hAnsi="宋体" w:eastAsia="宋体" w:cs="宋体"/>
          <w:szCs w:val="21"/>
          <w:u w:val="single"/>
        </w:rPr>
        <w:t xml:space="preserve">                                        </w:t>
      </w:r>
      <w:r>
        <w:rPr>
          <w:rFonts w:hint="eastAsia" w:ascii="宋体" w:hAnsi="宋体" w:eastAsia="宋体" w:cs="宋体"/>
          <w:szCs w:val="21"/>
        </w:rPr>
        <w:t>。</w:t>
      </w:r>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Start w:id="450" w:name="_Toc296891201"/>
      <w:bookmarkStart w:id="451" w:name="_Toc300934947"/>
      <w:bookmarkStart w:id="452" w:name="_Toc296890989"/>
      <w:bookmarkStart w:id="453" w:name="_Toc297123494"/>
      <w:bookmarkStart w:id="454" w:name="_Toc304295525"/>
      <w:bookmarkStart w:id="455" w:name="_Toc297120461"/>
      <w:bookmarkStart w:id="456" w:name="_Toc296503161"/>
      <w:bookmarkStart w:id="457" w:name="_Toc296347160"/>
      <w:bookmarkStart w:id="458" w:name="_Toc303539104"/>
      <w:bookmarkStart w:id="459" w:name="_Toc296944500"/>
      <w:bookmarkStart w:id="460" w:name="_Toc297048347"/>
      <w:bookmarkStart w:id="461" w:name="_Toc296346662"/>
      <w:bookmarkStart w:id="462" w:name="_Toc297216153"/>
    </w:p>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 xml:space="preserve">    3</w:t>
      </w:r>
      <w:bookmarkStart w:id="463" w:name="_Toc312677990"/>
      <w:bookmarkStart w:id="464" w:name="_Toc318581159"/>
      <w:r>
        <w:rPr>
          <w:rFonts w:hint="eastAsia" w:ascii="宋体" w:hAnsi="宋体" w:eastAsia="宋体" w:cs="宋体"/>
          <w:szCs w:val="21"/>
        </w:rPr>
        <w:t>.5.2分包的确定</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允许分包的专业工程包括：</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其他关于分包的约定：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3.5.4 分包合同价款</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关于分包合同价款支付的约定：</w:t>
      </w:r>
      <w:r>
        <w:rPr>
          <w:rFonts w:hint="eastAsia" w:ascii="宋体" w:hAnsi="宋体" w:eastAsia="宋体" w:cs="宋体"/>
          <w:szCs w:val="21"/>
          <w:u w:val="single"/>
        </w:rPr>
        <w:t xml:space="preserve">                      </w:t>
      </w:r>
      <w:r>
        <w:rPr>
          <w:rFonts w:hint="eastAsia" w:ascii="宋体" w:hAnsi="宋体" w:eastAsia="宋体" w:cs="宋体"/>
          <w:szCs w:val="21"/>
        </w:rPr>
        <w:t>。</w:t>
      </w:r>
    </w:p>
    <w:bookmarkEnd w:id="463"/>
    <w:bookmarkEnd w:id="464"/>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3.6 工程照管与成品、半成品保护</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u w:val="single"/>
        </w:rPr>
      </w:pPr>
      <w:r>
        <w:rPr>
          <w:rFonts w:hint="eastAsia" w:ascii="宋体" w:hAnsi="宋体" w:eastAsia="宋体" w:cs="宋体"/>
          <w:kern w:val="0"/>
          <w:szCs w:val="21"/>
        </w:rPr>
        <w:t>承包人负责照管工程及工程相关的材料、工程设备的起始时间：</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3.7 履约担保</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承包人是否提供履约担保：</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承包人提供履约担保的形式、金额及期限的：</w:t>
      </w:r>
      <w:r>
        <w:rPr>
          <w:rFonts w:hint="eastAsia" w:ascii="宋体" w:hAnsi="宋体" w:eastAsia="宋体" w:cs="宋体"/>
          <w:szCs w:val="21"/>
          <w:u w:val="single"/>
        </w:rPr>
        <w:t>见招标文件。</w:t>
      </w:r>
    </w:p>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465" w:name="_Toc391711939"/>
      <w:bookmarkStart w:id="466" w:name="_Toc391711794"/>
      <w:bookmarkStart w:id="467" w:name="_Toc351203636"/>
      <w:r>
        <w:rPr>
          <w:rFonts w:hint="eastAsia" w:ascii="宋体" w:hAnsi="宋体" w:eastAsia="宋体" w:cs="宋体"/>
          <w:b w:val="0"/>
          <w:sz w:val="21"/>
          <w:szCs w:val="21"/>
        </w:rPr>
        <w:t>4</w:t>
      </w:r>
      <w:bookmarkStart w:id="468" w:name="_Toc296944501"/>
      <w:bookmarkStart w:id="469" w:name="_Toc267251413"/>
      <w:bookmarkStart w:id="470" w:name="_Toc292559366"/>
      <w:bookmarkStart w:id="471" w:name="_Toc296891202"/>
      <w:bookmarkStart w:id="472" w:name="_Toc297048348"/>
      <w:bookmarkStart w:id="473" w:name="_Toc296890990"/>
      <w:bookmarkStart w:id="474" w:name="_Toc296503162"/>
      <w:bookmarkStart w:id="475" w:name="_Toc297120462"/>
      <w:bookmarkStart w:id="476" w:name="_Toc292559871"/>
      <w:bookmarkStart w:id="477" w:name="_Toc296346663"/>
      <w:bookmarkStart w:id="478" w:name="_Toc296347161"/>
      <w:r>
        <w:rPr>
          <w:rFonts w:hint="eastAsia" w:ascii="宋体" w:hAnsi="宋体" w:eastAsia="宋体" w:cs="宋体"/>
          <w:b w:val="0"/>
          <w:sz w:val="21"/>
          <w:szCs w:val="21"/>
        </w:rPr>
        <w:t>. 监</w:t>
      </w:r>
      <w:bookmarkEnd w:id="468"/>
      <w:bookmarkEnd w:id="469"/>
      <w:bookmarkEnd w:id="470"/>
      <w:bookmarkEnd w:id="471"/>
      <w:bookmarkEnd w:id="472"/>
      <w:bookmarkEnd w:id="473"/>
      <w:bookmarkEnd w:id="474"/>
      <w:bookmarkEnd w:id="475"/>
      <w:bookmarkEnd w:id="476"/>
      <w:bookmarkEnd w:id="477"/>
      <w:bookmarkEnd w:id="478"/>
      <w:r>
        <w:rPr>
          <w:rFonts w:hint="eastAsia" w:ascii="宋体" w:hAnsi="宋体" w:eastAsia="宋体" w:cs="宋体"/>
          <w:b w:val="0"/>
          <w:sz w:val="21"/>
          <w:szCs w:val="21"/>
        </w:rPr>
        <w:t>理人</w:t>
      </w:r>
      <w:bookmarkEnd w:id="465"/>
      <w:bookmarkEnd w:id="466"/>
      <w:bookmarkEnd w:id="467"/>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4.1监理人的一般规定</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关于监理人的监理内容：</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关于监理人的监理权限：</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关于监理人在施工现场的办公场所、生活场所的提供和费用承担的约定：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4.2 监理人员</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总监理工程师：</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姓    名：</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职    务：</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监理工程师执业资格证书号：</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联系电话：</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电子信箱：</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通信地址：</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关于监理人的其他约定：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4.4 商定或确定</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bookmarkStart w:id="479" w:name="_Toc267251418"/>
      <w:r>
        <w:rPr>
          <w:rFonts w:hint="eastAsia" w:ascii="宋体" w:hAnsi="宋体" w:eastAsia="宋体" w:cs="宋体"/>
          <w:szCs w:val="21"/>
        </w:rPr>
        <w:t>在发包人和承包人不能通过协商达成一致意见时，发包人授权监理人对以下事项进行确定：</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（1）</w:t>
      </w:r>
      <w:r>
        <w:rPr>
          <w:rFonts w:hint="eastAsia" w:ascii="宋体" w:hAnsi="宋体" w:eastAsia="宋体" w:cs="宋体"/>
          <w:szCs w:val="21"/>
          <w:u w:val="single"/>
        </w:rPr>
        <w:t xml:space="preserve">           </w:t>
      </w:r>
      <w:r>
        <w:rPr>
          <w:rFonts w:hint="eastAsia" w:ascii="宋体" w:hAnsi="宋体" w:cs="宋体"/>
          <w:szCs w:val="21"/>
          <w:u w:val="single"/>
          <w:lang w:val="en-US" w:eastAsia="zh-CN"/>
        </w:rPr>
        <w:t xml:space="preserve">  </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（2）</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（3）</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480" w:name="_Toc391711940"/>
      <w:bookmarkStart w:id="481" w:name="_Toc391711795"/>
      <w:bookmarkStart w:id="482" w:name="_Toc351203637"/>
      <w:r>
        <w:rPr>
          <w:rFonts w:hint="eastAsia" w:ascii="宋体" w:hAnsi="宋体" w:eastAsia="宋体" w:cs="宋体"/>
          <w:b w:val="0"/>
          <w:sz w:val="21"/>
          <w:szCs w:val="21"/>
        </w:rPr>
        <w:t>5</w:t>
      </w:r>
      <w:bookmarkEnd w:id="479"/>
      <w:bookmarkStart w:id="483" w:name="_Toc296891203"/>
      <w:bookmarkStart w:id="484" w:name="_Toc297120463"/>
      <w:bookmarkStart w:id="485" w:name="_Toc292559872"/>
      <w:bookmarkStart w:id="486" w:name="_Toc296503163"/>
      <w:bookmarkStart w:id="487" w:name="_Toc296347162"/>
      <w:bookmarkStart w:id="488" w:name="_Toc296944502"/>
      <w:bookmarkStart w:id="489" w:name="_Toc297048349"/>
      <w:bookmarkStart w:id="490" w:name="_Toc296346664"/>
      <w:bookmarkStart w:id="491" w:name="_Toc292559367"/>
      <w:bookmarkStart w:id="492" w:name="_Toc296890991"/>
      <w:r>
        <w:rPr>
          <w:rFonts w:hint="eastAsia" w:ascii="宋体" w:hAnsi="宋体" w:eastAsia="宋体" w:cs="宋体"/>
          <w:b w:val="0"/>
          <w:sz w:val="21"/>
          <w:szCs w:val="21"/>
        </w:rPr>
        <w:t>. 工程质量</w:t>
      </w:r>
      <w:bookmarkEnd w:id="480"/>
      <w:bookmarkEnd w:id="481"/>
      <w:bookmarkEnd w:id="482"/>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5.1 质量要求</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5</w:t>
      </w:r>
      <w:bookmarkStart w:id="493" w:name="_Toc303539106"/>
      <w:bookmarkStart w:id="494" w:name="_Toc304295527"/>
      <w:bookmarkStart w:id="495" w:name="_Toc312677997"/>
      <w:bookmarkStart w:id="496" w:name="_Toc297123496"/>
      <w:bookmarkStart w:id="497" w:name="_Toc297216155"/>
      <w:bookmarkStart w:id="498" w:name="_Toc318581164"/>
      <w:bookmarkStart w:id="499" w:name="_Toc300934949"/>
      <w:r>
        <w:rPr>
          <w:rFonts w:hint="eastAsia" w:ascii="宋体" w:hAnsi="宋体" w:eastAsia="宋体" w:cs="宋体"/>
          <w:szCs w:val="21"/>
        </w:rPr>
        <w:t>.1.1 特殊质量标准和要求：</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关于工程奖项的约定：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5.3 隐蔽工程检查</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5.3.2承包人提前通知监理人隐蔽工程检查的期限的约定：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监理人不能按时进行检查时，应提前</w:t>
      </w:r>
      <w:r>
        <w:rPr>
          <w:rFonts w:hint="eastAsia" w:ascii="宋体" w:hAnsi="宋体" w:eastAsia="宋体" w:cs="宋体"/>
          <w:szCs w:val="21"/>
          <w:u w:val="single"/>
        </w:rPr>
        <w:t xml:space="preserve">       </w:t>
      </w:r>
      <w:r>
        <w:rPr>
          <w:rFonts w:hint="eastAsia" w:ascii="宋体" w:hAnsi="宋体" w:eastAsia="宋体" w:cs="宋体"/>
          <w:szCs w:val="21"/>
        </w:rPr>
        <w:t>小时提交书面延期要求。</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关于延期最长不得超过：</w:t>
      </w:r>
      <w:r>
        <w:rPr>
          <w:rFonts w:hint="eastAsia" w:ascii="宋体" w:hAnsi="宋体" w:eastAsia="宋体" w:cs="宋体"/>
          <w:szCs w:val="21"/>
          <w:u w:val="single"/>
        </w:rPr>
        <w:t xml:space="preserve">         </w:t>
      </w:r>
      <w:r>
        <w:rPr>
          <w:rFonts w:hint="eastAsia" w:ascii="宋体" w:hAnsi="宋体" w:eastAsia="宋体" w:cs="宋体"/>
          <w:szCs w:val="21"/>
        </w:rPr>
        <w:t>小时。</w:t>
      </w:r>
    </w:p>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500" w:name="_Toc351203638"/>
      <w:bookmarkStart w:id="501" w:name="_Toc391711941"/>
      <w:bookmarkStart w:id="502" w:name="_Toc391711796"/>
      <w:r>
        <w:rPr>
          <w:rFonts w:hint="eastAsia" w:ascii="宋体" w:hAnsi="宋体" w:eastAsia="宋体" w:cs="宋体"/>
          <w:b w:val="0"/>
          <w:sz w:val="21"/>
          <w:szCs w:val="21"/>
        </w:rPr>
        <w:t>6. 安全文明施工与环境保护</w:t>
      </w:r>
      <w:bookmarkEnd w:id="500"/>
      <w:bookmarkEnd w:id="501"/>
      <w:bookmarkEnd w:id="502"/>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6.1安全文明施工</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6.1.1 项目安全生产的达标目标及相应事项的约定：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6.1.4 关于治安保卫的特别约定：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关于编制施工场地治安管理计划的约定：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6.1.5 文明施工</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合同当事人对文明施工的要求：</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6.1.6 关于安全文明施工费支付比例和支付期限的约定：</w:t>
      </w:r>
      <w:r>
        <w:rPr>
          <w:rFonts w:hint="eastAsia" w:ascii="宋体" w:hAnsi="宋体" w:eastAsia="宋体" w:cs="宋体"/>
          <w:szCs w:val="21"/>
          <w:u w:val="single"/>
        </w:rPr>
        <w:t xml:space="preserve">                      </w:t>
      </w:r>
      <w:r>
        <w:rPr>
          <w:rFonts w:hint="eastAsia" w:ascii="宋体" w:hAnsi="宋体" w:eastAsia="宋体" w:cs="宋体"/>
          <w:szCs w:val="21"/>
        </w:rPr>
        <w:t>。</w:t>
      </w:r>
    </w:p>
    <w:bookmarkEnd w:id="493"/>
    <w:bookmarkEnd w:id="494"/>
    <w:bookmarkEnd w:id="495"/>
    <w:bookmarkEnd w:id="496"/>
    <w:bookmarkEnd w:id="497"/>
    <w:bookmarkEnd w:id="498"/>
    <w:bookmarkEnd w:id="499"/>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503" w:name="_Toc391711942"/>
      <w:bookmarkStart w:id="504" w:name="_Toc351203639"/>
      <w:bookmarkStart w:id="505" w:name="_Toc391711797"/>
      <w:r>
        <w:rPr>
          <w:rFonts w:hint="eastAsia" w:ascii="宋体" w:hAnsi="宋体" w:eastAsia="宋体" w:cs="宋体"/>
          <w:b w:val="0"/>
          <w:sz w:val="21"/>
          <w:szCs w:val="21"/>
        </w:rPr>
        <w:t>7. 工期和进度</w:t>
      </w:r>
      <w:bookmarkEnd w:id="503"/>
      <w:bookmarkEnd w:id="504"/>
      <w:bookmarkEnd w:id="505"/>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7.1 施工组织设计</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szCs w:val="21"/>
        </w:rPr>
        <w:t>7.1.1 合</w:t>
      </w:r>
      <w:r>
        <w:rPr>
          <w:rFonts w:hint="eastAsia" w:ascii="宋体" w:hAnsi="宋体" w:eastAsia="宋体" w:cs="宋体"/>
          <w:kern w:val="0"/>
          <w:szCs w:val="21"/>
        </w:rPr>
        <w:t>同当事人约定的施工组织设计应包括的其他内容：</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szCs w:val="21"/>
        </w:rPr>
        <w:t xml:space="preserve">7.1.2 </w:t>
      </w:r>
      <w:r>
        <w:rPr>
          <w:rFonts w:hint="eastAsia" w:ascii="宋体" w:hAnsi="宋体" w:eastAsia="宋体" w:cs="宋体"/>
          <w:kern w:val="0"/>
          <w:szCs w:val="21"/>
        </w:rPr>
        <w:t>施工组织设计的提交和修改</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kern w:val="0"/>
          <w:szCs w:val="21"/>
        </w:rPr>
        <w:t>承包人提交详细施工组织设计的期限的约定：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发包人和监理人在收到详细的施工组织设计后确认或提出修改意见的期限：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7</w:t>
      </w:r>
      <w:bookmarkStart w:id="506" w:name="_Toc312677479"/>
      <w:bookmarkStart w:id="507" w:name="_Toc304295541"/>
      <w:bookmarkStart w:id="508" w:name="_Toc300934966"/>
      <w:bookmarkStart w:id="509" w:name="_Toc297123514"/>
      <w:bookmarkStart w:id="510" w:name="_Toc297216173"/>
      <w:bookmarkStart w:id="511" w:name="_Toc303539123"/>
      <w:bookmarkStart w:id="512" w:name="_Toc312678005"/>
      <w:r>
        <w:rPr>
          <w:rFonts w:hint="eastAsia" w:ascii="宋体" w:hAnsi="宋体" w:eastAsia="宋体" w:cs="宋体"/>
          <w:szCs w:val="21"/>
        </w:rPr>
        <w:t>.2 施工进度计划</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7.2.2 施工进度计划的修订</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发包人和监理人在收到修订的施工进度计划后确认或提出修改意见的期限：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7.3 开工</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7.3.1 开工准备</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关于承包人提交</w:t>
      </w:r>
      <w:r>
        <w:rPr>
          <w:rFonts w:hint="eastAsia" w:ascii="宋体" w:hAnsi="宋体" w:eastAsia="宋体" w:cs="宋体"/>
          <w:kern w:val="0"/>
          <w:szCs w:val="21"/>
        </w:rPr>
        <w:t>工程开工报审表的期限：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关于发包人应完成的其他开工准备工作及期限：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关于承包人应完成的其他开工准备工作及期限：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7.3.2开工通知</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因发包人原因造成监理人未能在计划开工日期之日起</w:t>
      </w:r>
      <w:r>
        <w:rPr>
          <w:rFonts w:hint="eastAsia" w:ascii="宋体" w:hAnsi="宋体" w:eastAsia="宋体" w:cs="宋体"/>
          <w:szCs w:val="21"/>
          <w:u w:val="single"/>
        </w:rPr>
        <w:t xml:space="preserve">     </w:t>
      </w:r>
      <w:r>
        <w:rPr>
          <w:rFonts w:hint="eastAsia" w:ascii="宋体" w:hAnsi="宋体" w:eastAsia="宋体" w:cs="宋体"/>
          <w:szCs w:val="21"/>
        </w:rPr>
        <w:t>天内发出开工通知的，承包人有权提出价格调整要求，或者解除合同。</w:t>
      </w:r>
    </w:p>
    <w:bookmarkEnd w:id="506"/>
    <w:bookmarkEnd w:id="507"/>
    <w:bookmarkEnd w:id="508"/>
    <w:bookmarkEnd w:id="509"/>
    <w:bookmarkEnd w:id="510"/>
    <w:bookmarkEnd w:id="511"/>
    <w:bookmarkEnd w:id="512"/>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7.4 测量放线</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7.4.1发包人通过监理人向承包人提供测量基准点、基准线和水准点及其书面资料的期限：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7</w:t>
      </w:r>
      <w:bookmarkStart w:id="513" w:name="_Toc312677484"/>
      <w:bookmarkStart w:id="514" w:name="_Toc297216175"/>
      <w:bookmarkStart w:id="515" w:name="_Toc297123516"/>
      <w:bookmarkStart w:id="516" w:name="_Toc303539125"/>
      <w:bookmarkStart w:id="517" w:name="_Toc312678010"/>
      <w:bookmarkStart w:id="518" w:name="_Toc304295546"/>
      <w:bookmarkStart w:id="519" w:name="_Toc300934968"/>
      <w:r>
        <w:rPr>
          <w:rFonts w:hint="eastAsia" w:ascii="宋体" w:hAnsi="宋体" w:eastAsia="宋体" w:cs="宋体"/>
          <w:szCs w:val="21"/>
        </w:rPr>
        <w:t>.5 工期延误</w:t>
      </w:r>
    </w:p>
    <w:bookmarkEnd w:id="513"/>
    <w:bookmarkEnd w:id="514"/>
    <w:bookmarkEnd w:id="515"/>
    <w:bookmarkEnd w:id="516"/>
    <w:bookmarkEnd w:id="517"/>
    <w:bookmarkEnd w:id="518"/>
    <w:bookmarkEnd w:id="519"/>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7.5.1 因发包人原因导致工期延误</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（7）因发包人原因导致工期延误的其他情形：</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7</w:t>
      </w:r>
      <w:bookmarkStart w:id="520" w:name="_Toc318581169"/>
      <w:bookmarkStart w:id="521" w:name="_Toc312678012"/>
      <w:bookmarkStart w:id="522" w:name="_Toc312677486"/>
      <w:bookmarkStart w:id="523" w:name="_Toc297123518"/>
      <w:bookmarkStart w:id="524" w:name="_Toc304295548"/>
      <w:bookmarkStart w:id="525" w:name="_Toc300934970"/>
      <w:bookmarkStart w:id="526" w:name="_Toc297216177"/>
      <w:bookmarkStart w:id="527" w:name="_Toc303539127"/>
      <w:r>
        <w:rPr>
          <w:rFonts w:hint="eastAsia" w:ascii="宋体" w:hAnsi="宋体" w:eastAsia="宋体" w:cs="宋体"/>
          <w:szCs w:val="21"/>
        </w:rPr>
        <w:t>.5.2 因承包人原因导致工期延误</w:t>
      </w:r>
    </w:p>
    <w:bookmarkEnd w:id="520"/>
    <w:bookmarkEnd w:id="521"/>
    <w:bookmarkEnd w:id="522"/>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因</w:t>
      </w:r>
      <w:bookmarkStart w:id="528" w:name="_Toc312678013"/>
      <w:bookmarkStart w:id="529" w:name="_Toc312677487"/>
      <w:bookmarkStart w:id="530" w:name="_Toc318581170"/>
      <w:r>
        <w:rPr>
          <w:rFonts w:hint="eastAsia" w:ascii="宋体" w:hAnsi="宋体" w:eastAsia="宋体" w:cs="宋体"/>
          <w:szCs w:val="21"/>
        </w:rPr>
        <w:t>承包人原因造成工期延误，逾期竣工违约金的计算方法为：</w:t>
      </w:r>
      <w:r>
        <w:rPr>
          <w:rFonts w:hint="eastAsia" w:ascii="宋体" w:hAnsi="宋体" w:eastAsia="宋体" w:cs="宋体"/>
          <w:szCs w:val="21"/>
          <w:u w:val="single"/>
        </w:rPr>
        <w:t xml:space="preserve">                      </w:t>
      </w:r>
      <w:r>
        <w:rPr>
          <w:rFonts w:hint="eastAsia" w:ascii="宋体" w:hAnsi="宋体" w:eastAsia="宋体" w:cs="宋体"/>
          <w:szCs w:val="21"/>
        </w:rPr>
        <w:t>。</w:t>
      </w:r>
      <w:bookmarkEnd w:id="523"/>
      <w:bookmarkEnd w:id="524"/>
      <w:bookmarkEnd w:id="525"/>
      <w:bookmarkEnd w:id="526"/>
      <w:bookmarkEnd w:id="527"/>
      <w:bookmarkEnd w:id="528"/>
      <w:bookmarkEnd w:id="529"/>
    </w:p>
    <w:bookmarkEnd w:id="530"/>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因承包人原因造成工期延误，逾</w:t>
      </w:r>
      <w:bookmarkStart w:id="531" w:name="_Toc312678014"/>
      <w:bookmarkStart w:id="532" w:name="_Toc318581171"/>
      <w:r>
        <w:rPr>
          <w:rFonts w:hint="eastAsia" w:ascii="宋体" w:hAnsi="宋体" w:eastAsia="宋体" w:cs="宋体"/>
          <w:szCs w:val="21"/>
        </w:rPr>
        <w:t>期竣工违约金的上限：</w:t>
      </w:r>
      <w:r>
        <w:rPr>
          <w:rFonts w:hint="eastAsia" w:ascii="宋体" w:hAnsi="宋体" w:eastAsia="宋体" w:cs="宋体"/>
          <w:szCs w:val="21"/>
          <w:u w:val="single"/>
        </w:rPr>
        <w:t xml:space="preserve">                           </w:t>
      </w:r>
      <w:r>
        <w:rPr>
          <w:rFonts w:hint="eastAsia" w:ascii="宋体" w:hAnsi="宋体" w:eastAsia="宋体" w:cs="宋体"/>
          <w:szCs w:val="21"/>
        </w:rPr>
        <w:t>。</w:t>
      </w:r>
    </w:p>
    <w:bookmarkEnd w:id="531"/>
    <w:bookmarkEnd w:id="532"/>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7</w:t>
      </w:r>
      <w:bookmarkStart w:id="533" w:name="_Toc312678015"/>
      <w:bookmarkStart w:id="534" w:name="_Toc300934971"/>
      <w:bookmarkStart w:id="535" w:name="_Toc304295549"/>
      <w:bookmarkStart w:id="536" w:name="_Toc297123519"/>
      <w:bookmarkStart w:id="537" w:name="_Toc297216178"/>
      <w:bookmarkStart w:id="538" w:name="_Toc303539128"/>
      <w:r>
        <w:rPr>
          <w:rFonts w:hint="eastAsia" w:ascii="宋体" w:hAnsi="宋体" w:eastAsia="宋体" w:cs="宋体"/>
          <w:szCs w:val="21"/>
        </w:rPr>
        <w:t>.6 不</w:t>
      </w:r>
      <w:bookmarkEnd w:id="533"/>
      <w:bookmarkEnd w:id="534"/>
      <w:bookmarkEnd w:id="535"/>
      <w:bookmarkEnd w:id="536"/>
      <w:bookmarkEnd w:id="537"/>
      <w:bookmarkEnd w:id="538"/>
      <w:r>
        <w:rPr>
          <w:rFonts w:hint="eastAsia" w:ascii="宋体" w:hAnsi="宋体" w:eastAsia="宋体" w:cs="宋体"/>
          <w:szCs w:val="21"/>
        </w:rPr>
        <w:t>利物质条件</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bookmarkStart w:id="539" w:name="_Toc297216179"/>
      <w:bookmarkStart w:id="540" w:name="_Toc312678016"/>
      <w:bookmarkStart w:id="541" w:name="_Toc300934972"/>
      <w:bookmarkStart w:id="542" w:name="_Toc318581172"/>
      <w:bookmarkStart w:id="543" w:name="_Toc297123520"/>
      <w:bookmarkStart w:id="544" w:name="_Toc304295550"/>
      <w:bookmarkStart w:id="545" w:name="_Toc303539129"/>
      <w:r>
        <w:rPr>
          <w:rFonts w:hint="eastAsia" w:ascii="宋体" w:hAnsi="宋体" w:eastAsia="宋体" w:cs="宋体"/>
          <w:szCs w:val="21"/>
        </w:rPr>
        <w:t>不利物质条件的其他情形和有关约定：</w:t>
      </w:r>
      <w:r>
        <w:rPr>
          <w:rFonts w:hint="eastAsia" w:ascii="宋体" w:hAnsi="宋体" w:eastAsia="宋体" w:cs="宋体"/>
          <w:szCs w:val="21"/>
          <w:u w:val="single"/>
        </w:rPr>
        <w:t xml:space="preserve">                                   </w:t>
      </w:r>
      <w:r>
        <w:rPr>
          <w:rFonts w:hint="eastAsia" w:ascii="宋体" w:hAnsi="宋体" w:eastAsia="宋体" w:cs="宋体"/>
          <w:szCs w:val="21"/>
        </w:rPr>
        <w:t>。</w:t>
      </w:r>
    </w:p>
    <w:bookmarkEnd w:id="539"/>
    <w:bookmarkEnd w:id="540"/>
    <w:bookmarkEnd w:id="541"/>
    <w:bookmarkEnd w:id="542"/>
    <w:bookmarkEnd w:id="543"/>
    <w:bookmarkEnd w:id="544"/>
    <w:bookmarkEnd w:id="545"/>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7</w:t>
      </w:r>
      <w:bookmarkStart w:id="546" w:name="_Toc312678017"/>
      <w:bookmarkStart w:id="547" w:name="_Toc304295551"/>
      <w:bookmarkStart w:id="548" w:name="_Toc303539130"/>
      <w:bookmarkStart w:id="549" w:name="_Toc300934973"/>
      <w:bookmarkStart w:id="550" w:name="_Toc297216180"/>
      <w:bookmarkStart w:id="551" w:name="_Toc297123521"/>
      <w:r>
        <w:rPr>
          <w:rFonts w:hint="eastAsia" w:ascii="宋体" w:hAnsi="宋体" w:eastAsia="宋体" w:cs="宋体"/>
          <w:szCs w:val="21"/>
        </w:rPr>
        <w:t>.7异常恶劣的气候条件</w:t>
      </w:r>
    </w:p>
    <w:bookmarkEnd w:id="546"/>
    <w:bookmarkEnd w:id="547"/>
    <w:bookmarkEnd w:id="548"/>
    <w:bookmarkEnd w:id="549"/>
    <w:bookmarkEnd w:id="550"/>
    <w:bookmarkEnd w:id="551"/>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发包人和承包人同意以下情形视为异常恶劣的气候条件：</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（2）</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（3）</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7.9 提前竣工的奖励</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7.9.2提前竣工的奖励：</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552" w:name="_Toc391711943"/>
      <w:bookmarkStart w:id="553" w:name="_Toc351203640"/>
      <w:bookmarkStart w:id="554" w:name="_Toc391711798"/>
      <w:r>
        <w:rPr>
          <w:rFonts w:hint="eastAsia" w:ascii="宋体" w:hAnsi="宋体" w:eastAsia="宋体" w:cs="宋体"/>
          <w:b w:val="0"/>
          <w:sz w:val="21"/>
          <w:szCs w:val="21"/>
        </w:rPr>
        <w:t>8. 材料与设备</w:t>
      </w:r>
      <w:bookmarkEnd w:id="552"/>
      <w:bookmarkEnd w:id="553"/>
      <w:bookmarkEnd w:id="554"/>
    </w:p>
    <w:bookmarkEnd w:id="483"/>
    <w:bookmarkEnd w:id="484"/>
    <w:bookmarkEnd w:id="485"/>
    <w:bookmarkEnd w:id="486"/>
    <w:bookmarkEnd w:id="487"/>
    <w:bookmarkEnd w:id="488"/>
    <w:bookmarkEnd w:id="489"/>
    <w:bookmarkEnd w:id="490"/>
    <w:bookmarkEnd w:id="491"/>
    <w:bookmarkEnd w:id="492"/>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8</w:t>
      </w:r>
      <w:bookmarkStart w:id="555" w:name="_Toc297120467"/>
      <w:bookmarkStart w:id="556" w:name="_Toc296503167"/>
      <w:bookmarkStart w:id="557" w:name="_Toc292559877"/>
      <w:bookmarkStart w:id="558" w:name="_Toc296890995"/>
      <w:bookmarkStart w:id="559" w:name="_Toc296891207"/>
      <w:bookmarkStart w:id="560" w:name="_Toc300934979"/>
      <w:bookmarkStart w:id="561" w:name="_Toc303539136"/>
      <w:bookmarkStart w:id="562" w:name="_Toc312678019"/>
      <w:bookmarkStart w:id="563" w:name="_Toc297123527"/>
      <w:bookmarkStart w:id="564" w:name="_Toc297216186"/>
      <w:bookmarkStart w:id="565" w:name="_Toc292559372"/>
      <w:bookmarkStart w:id="566" w:name="_Toc304295556"/>
      <w:bookmarkStart w:id="567" w:name="_Toc280868654"/>
      <w:bookmarkStart w:id="568" w:name="_Toc296944506"/>
      <w:bookmarkStart w:id="569" w:name="_Toc297048353"/>
      <w:bookmarkStart w:id="570" w:name="_Toc312677493"/>
      <w:bookmarkStart w:id="571" w:name="_Toc296347166"/>
      <w:bookmarkStart w:id="572" w:name="_Toc296346668"/>
      <w:bookmarkStart w:id="573" w:name="_Toc267251424"/>
      <w:bookmarkStart w:id="574" w:name="_Toc280868655"/>
      <w:bookmarkStart w:id="575" w:name="_Toc280868656"/>
      <w:r>
        <w:rPr>
          <w:rFonts w:hint="eastAsia" w:ascii="宋体" w:hAnsi="宋体" w:eastAsia="宋体" w:cs="宋体"/>
          <w:szCs w:val="21"/>
        </w:rPr>
        <w:t>.4材料与工程设备的保管与使用</w:t>
      </w:r>
    </w:p>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8</w:t>
      </w:r>
      <w:bookmarkStart w:id="576" w:name="_Toc292559373"/>
      <w:bookmarkStart w:id="577" w:name="_Toc292559878"/>
      <w:bookmarkStart w:id="578" w:name="_Toc312677494"/>
      <w:bookmarkStart w:id="579" w:name="_Toc296890996"/>
      <w:bookmarkStart w:id="580" w:name="_Toc312678020"/>
      <w:bookmarkStart w:id="581" w:name="_Toc300934980"/>
      <w:bookmarkStart w:id="582" w:name="_Toc296944507"/>
      <w:bookmarkStart w:id="583" w:name="_Toc297216187"/>
      <w:bookmarkStart w:id="584" w:name="_Toc296891208"/>
      <w:bookmarkStart w:id="585" w:name="_Toc296503168"/>
      <w:bookmarkStart w:id="586" w:name="_Toc297048354"/>
      <w:bookmarkStart w:id="587" w:name="_Toc318581173"/>
      <w:bookmarkStart w:id="588" w:name="_Toc303539137"/>
      <w:bookmarkStart w:id="589" w:name="_Toc297120468"/>
      <w:bookmarkStart w:id="590" w:name="_Toc297123528"/>
      <w:bookmarkStart w:id="591" w:name="_Toc296346669"/>
      <w:bookmarkStart w:id="592" w:name="_Toc304295557"/>
      <w:bookmarkStart w:id="593" w:name="_Toc296347167"/>
      <w:r>
        <w:rPr>
          <w:rFonts w:hint="eastAsia" w:ascii="宋体" w:hAnsi="宋体" w:eastAsia="宋体" w:cs="宋体"/>
          <w:szCs w:val="21"/>
        </w:rPr>
        <w:t>.4.1发包人供应的材料设备的保管费用的承担：</w:t>
      </w:r>
      <w:r>
        <w:rPr>
          <w:rFonts w:hint="eastAsia" w:ascii="宋体" w:hAnsi="宋体" w:eastAsia="宋体" w:cs="宋体"/>
          <w:szCs w:val="21"/>
          <w:u w:val="single"/>
        </w:rPr>
        <w:t xml:space="preserve">              </w:t>
      </w:r>
      <w:r>
        <w:rPr>
          <w:rFonts w:hint="eastAsia" w:ascii="宋体" w:hAnsi="宋体" w:eastAsia="宋体" w:cs="宋体"/>
          <w:szCs w:val="21"/>
        </w:rPr>
        <w:t>。</w:t>
      </w:r>
      <w:bookmarkEnd w:id="576"/>
      <w:bookmarkEnd w:id="577"/>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8.4.2发包人提供水、电等材料。</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8.6 样品</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8.6.1</w:t>
      </w:r>
      <w:r>
        <w:rPr>
          <w:rFonts w:hint="eastAsia" w:ascii="宋体" w:hAnsi="宋体" w:eastAsia="宋体" w:cs="宋体"/>
          <w:kern w:val="0"/>
          <w:szCs w:val="21"/>
        </w:rPr>
        <w:tab/>
      </w:r>
      <w:r>
        <w:rPr>
          <w:rFonts w:hint="eastAsia" w:ascii="宋体" w:hAnsi="宋体" w:eastAsia="宋体" w:cs="宋体"/>
          <w:kern w:val="0"/>
          <w:szCs w:val="21"/>
        </w:rPr>
        <w:t>样品的报送与封存</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kern w:val="0"/>
          <w:szCs w:val="21"/>
        </w:rPr>
        <w:t>需要承包人报送样品的材料或工程设备，样品的种类、名称、规格、数量要求：</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8.8 施工设备和临时设施</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8.8.1 承包人提供的施工设备和临时设施</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关于修建临时设施费用承担的约定：</w:t>
      </w:r>
      <w:r>
        <w:rPr>
          <w:rFonts w:hint="eastAsia" w:ascii="宋体" w:hAnsi="宋体" w:eastAsia="宋体" w:cs="宋体"/>
          <w:szCs w:val="21"/>
          <w:u w:val="single"/>
        </w:rPr>
        <w:t xml:space="preserve">                                   </w:t>
      </w:r>
      <w:r>
        <w:rPr>
          <w:rFonts w:hint="eastAsia" w:ascii="宋体" w:hAnsi="宋体" w:eastAsia="宋体" w:cs="宋体"/>
          <w:szCs w:val="21"/>
        </w:rPr>
        <w:t>。</w:t>
      </w:r>
    </w:p>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594" w:name="_Toc391711799"/>
      <w:bookmarkStart w:id="595" w:name="_Toc351203641"/>
      <w:bookmarkStart w:id="596" w:name="_Toc391711944"/>
      <w:r>
        <w:rPr>
          <w:rFonts w:hint="eastAsia" w:ascii="宋体" w:hAnsi="宋体" w:eastAsia="宋体" w:cs="宋体"/>
          <w:b w:val="0"/>
          <w:sz w:val="21"/>
          <w:szCs w:val="21"/>
        </w:rPr>
        <w:t>9</w:t>
      </w:r>
      <w:bookmarkEnd w:id="573"/>
      <w:bookmarkEnd w:id="574"/>
      <w:bookmarkEnd w:id="575"/>
      <w:bookmarkStart w:id="597" w:name="_Toc297123533"/>
      <w:bookmarkStart w:id="598" w:name="_Toc297216192"/>
      <w:bookmarkStart w:id="599" w:name="_Toc312677495"/>
      <w:bookmarkStart w:id="600" w:name="_Toc300934982"/>
      <w:bookmarkStart w:id="601" w:name="_Toc312678021"/>
      <w:bookmarkStart w:id="602" w:name="_Toc303539139"/>
      <w:bookmarkStart w:id="603" w:name="_Toc304295559"/>
      <w:bookmarkStart w:id="604" w:name="_Toc297120473"/>
      <w:bookmarkStart w:id="605" w:name="_Toc296944512"/>
      <w:bookmarkStart w:id="606" w:name="_Toc267251427"/>
      <w:bookmarkStart w:id="607" w:name="_Toc297048359"/>
      <w:bookmarkStart w:id="608" w:name="_Toc267251428"/>
      <w:bookmarkStart w:id="609" w:name="_Toc296347172"/>
      <w:bookmarkStart w:id="610" w:name="_Toc296346674"/>
      <w:bookmarkStart w:id="611" w:name="_Toc296891001"/>
      <w:bookmarkStart w:id="612" w:name="_Toc296503173"/>
      <w:bookmarkStart w:id="613" w:name="_Toc292559883"/>
      <w:bookmarkStart w:id="614" w:name="_Toc292559378"/>
      <w:bookmarkStart w:id="615" w:name="_Toc296891213"/>
      <w:r>
        <w:rPr>
          <w:rFonts w:hint="eastAsia" w:ascii="宋体" w:hAnsi="宋体" w:eastAsia="宋体" w:cs="宋体"/>
          <w:b w:val="0"/>
          <w:sz w:val="21"/>
          <w:szCs w:val="21"/>
        </w:rPr>
        <w:t>. 试验与检验</w:t>
      </w:r>
      <w:bookmarkEnd w:id="594"/>
      <w:bookmarkEnd w:id="595"/>
      <w:bookmarkEnd w:id="596"/>
    </w:p>
    <w:bookmarkEnd w:id="597"/>
    <w:bookmarkEnd w:id="598"/>
    <w:bookmarkEnd w:id="599"/>
    <w:bookmarkEnd w:id="600"/>
    <w:bookmarkEnd w:id="601"/>
    <w:bookmarkEnd w:id="602"/>
    <w:bookmarkEnd w:id="603"/>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9</w:t>
      </w:r>
      <w:bookmarkStart w:id="616" w:name="_Toc312678022"/>
      <w:bookmarkStart w:id="617" w:name="_Toc300934983"/>
      <w:bookmarkStart w:id="618" w:name="_Toc297123534"/>
      <w:bookmarkStart w:id="619" w:name="_Toc297216193"/>
      <w:bookmarkStart w:id="620" w:name="_Toc312677496"/>
      <w:bookmarkStart w:id="621" w:name="_Toc304295560"/>
      <w:bookmarkStart w:id="622" w:name="_Toc303539140"/>
      <w:r>
        <w:rPr>
          <w:rFonts w:hint="eastAsia" w:ascii="宋体" w:hAnsi="宋体" w:eastAsia="宋体" w:cs="宋体"/>
          <w:szCs w:val="21"/>
        </w:rPr>
        <w:t>.1试验设备与试验人员</w:t>
      </w:r>
    </w:p>
    <w:bookmarkEnd w:id="616"/>
    <w:bookmarkEnd w:id="617"/>
    <w:bookmarkEnd w:id="618"/>
    <w:bookmarkEnd w:id="619"/>
    <w:bookmarkEnd w:id="620"/>
    <w:bookmarkEnd w:id="621"/>
    <w:bookmarkEnd w:id="622"/>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9</w:t>
      </w:r>
      <w:bookmarkStart w:id="623" w:name="_Toc297216194"/>
      <w:bookmarkStart w:id="624" w:name="_Toc297123535"/>
      <w:bookmarkStart w:id="625" w:name="_Toc304295561"/>
      <w:bookmarkStart w:id="626" w:name="_Toc303539141"/>
      <w:bookmarkStart w:id="627" w:name="_Toc300934984"/>
      <w:bookmarkStart w:id="628" w:name="_Toc312678023"/>
      <w:bookmarkStart w:id="629" w:name="_Toc312677497"/>
      <w:bookmarkStart w:id="630" w:name="_Toc318581174"/>
      <w:r>
        <w:rPr>
          <w:rFonts w:hint="eastAsia" w:ascii="宋体" w:hAnsi="宋体" w:eastAsia="宋体" w:cs="宋体"/>
          <w:szCs w:val="21"/>
        </w:rPr>
        <w:t>.1.2 试验设备</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施工现场需要配置的试验场所：</w:t>
      </w:r>
      <w:bookmarkEnd w:id="623"/>
      <w:bookmarkEnd w:id="624"/>
      <w:bookmarkEnd w:id="625"/>
      <w:bookmarkEnd w:id="626"/>
      <w:bookmarkEnd w:id="627"/>
      <w:bookmarkEnd w:id="628"/>
      <w:bookmarkEnd w:id="629"/>
      <w:bookmarkStart w:id="631" w:name="_Toc297123536"/>
      <w:bookmarkStart w:id="632" w:name="_Toc297216195"/>
      <w:bookmarkStart w:id="633" w:name="_Toc312677498"/>
      <w:bookmarkStart w:id="634" w:name="_Toc303539142"/>
      <w:bookmarkStart w:id="635" w:name="_Toc304295562"/>
      <w:bookmarkStart w:id="636" w:name="_Toc312678024"/>
      <w:bookmarkStart w:id="637" w:name="_Toc300934985"/>
      <w:r>
        <w:rPr>
          <w:rFonts w:hint="eastAsia" w:ascii="宋体" w:hAnsi="宋体" w:eastAsia="宋体" w:cs="宋体"/>
          <w:szCs w:val="21"/>
          <w:u w:val="single"/>
        </w:rPr>
        <w:t xml:space="preserve">                                          </w:t>
      </w:r>
      <w:r>
        <w:rPr>
          <w:rFonts w:hint="eastAsia" w:ascii="宋体" w:hAnsi="宋体" w:eastAsia="宋体" w:cs="宋体"/>
          <w:szCs w:val="21"/>
        </w:rPr>
        <w:t xml:space="preserve">。 </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施工现场需要配备的试验设备：</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施工现场需要具备的其他试验条件：</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 xml:space="preserve">9.4 现场工艺试验 </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现场工艺试验的有关约定：</w:t>
      </w:r>
      <w:r>
        <w:rPr>
          <w:rFonts w:hint="eastAsia" w:ascii="宋体" w:hAnsi="宋体" w:eastAsia="宋体" w:cs="宋体"/>
          <w:szCs w:val="21"/>
          <w:u w:val="single"/>
        </w:rPr>
        <w:t xml:space="preserve">                                           </w:t>
      </w:r>
      <w:r>
        <w:rPr>
          <w:rFonts w:hint="eastAsia" w:ascii="宋体" w:hAnsi="宋体" w:eastAsia="宋体" w:cs="宋体"/>
          <w:szCs w:val="21"/>
        </w:rPr>
        <w:t>。</w:t>
      </w:r>
    </w:p>
    <w:bookmarkEnd w:id="630"/>
    <w:bookmarkEnd w:id="631"/>
    <w:bookmarkEnd w:id="632"/>
    <w:bookmarkEnd w:id="633"/>
    <w:bookmarkEnd w:id="634"/>
    <w:bookmarkEnd w:id="635"/>
    <w:bookmarkEnd w:id="636"/>
    <w:bookmarkEnd w:id="637"/>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638" w:name="_Toc391711945"/>
      <w:bookmarkStart w:id="639" w:name="_Toc351203642"/>
      <w:bookmarkStart w:id="640" w:name="_Toc391711800"/>
      <w:r>
        <w:rPr>
          <w:rFonts w:hint="eastAsia" w:ascii="宋体" w:hAnsi="宋体" w:eastAsia="宋体" w:cs="宋体"/>
          <w:b w:val="0"/>
          <w:sz w:val="21"/>
          <w:szCs w:val="21"/>
        </w:rPr>
        <w:t>1</w:t>
      </w:r>
      <w:bookmarkEnd w:id="604"/>
      <w:bookmarkEnd w:id="605"/>
      <w:bookmarkEnd w:id="606"/>
      <w:bookmarkEnd w:id="607"/>
      <w:bookmarkEnd w:id="608"/>
      <w:bookmarkEnd w:id="609"/>
      <w:bookmarkEnd w:id="610"/>
      <w:bookmarkEnd w:id="611"/>
      <w:bookmarkEnd w:id="612"/>
      <w:bookmarkEnd w:id="613"/>
      <w:bookmarkEnd w:id="614"/>
      <w:bookmarkEnd w:id="615"/>
      <w:bookmarkStart w:id="641" w:name="_Toc292559903"/>
      <w:bookmarkStart w:id="642" w:name="_Toc296944532"/>
      <w:bookmarkStart w:id="643" w:name="_Toc296346694"/>
      <w:bookmarkStart w:id="644" w:name="_Toc297120493"/>
      <w:bookmarkStart w:id="645" w:name="_Toc297216199"/>
      <w:bookmarkStart w:id="646" w:name="_Toc297123540"/>
      <w:bookmarkStart w:id="647" w:name="_Toc304295566"/>
      <w:bookmarkStart w:id="648" w:name="_Toc296503193"/>
      <w:bookmarkStart w:id="649" w:name="_Toc303539146"/>
      <w:bookmarkStart w:id="650" w:name="_Toc296891021"/>
      <w:bookmarkStart w:id="651" w:name="_Toc296891233"/>
      <w:bookmarkStart w:id="652" w:name="_Toc297048379"/>
      <w:bookmarkStart w:id="653" w:name="_Toc292559398"/>
      <w:bookmarkStart w:id="654" w:name="_Toc300934989"/>
      <w:bookmarkStart w:id="655" w:name="_Toc296347192"/>
      <w:bookmarkStart w:id="656" w:name="_Toc312678025"/>
      <w:bookmarkStart w:id="657" w:name="_Toc312677499"/>
      <w:bookmarkStart w:id="658" w:name="_Toc267251440"/>
      <w:bookmarkStart w:id="659" w:name="_Toc267251439"/>
      <w:bookmarkStart w:id="660" w:name="_Toc267251433"/>
      <w:bookmarkStart w:id="661" w:name="_Toc267251441"/>
      <w:bookmarkStart w:id="662" w:name="_Toc267251437"/>
      <w:bookmarkStart w:id="663" w:name="_Toc267251435"/>
      <w:bookmarkStart w:id="664" w:name="_Toc267251442"/>
      <w:r>
        <w:rPr>
          <w:rFonts w:hint="eastAsia" w:ascii="宋体" w:hAnsi="宋体" w:eastAsia="宋体" w:cs="宋体"/>
          <w:b w:val="0"/>
          <w:sz w:val="21"/>
          <w:szCs w:val="21"/>
        </w:rPr>
        <w:t>0. 变更</w:t>
      </w:r>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p>
    <w:bookmarkEnd w:id="656"/>
    <w:bookmarkEnd w:id="657"/>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w:t>
      </w:r>
      <w:bookmarkStart w:id="665" w:name="_Toc292559399"/>
      <w:bookmarkStart w:id="666" w:name="_Toc296503194"/>
      <w:bookmarkStart w:id="667" w:name="_Toc296346695"/>
      <w:bookmarkStart w:id="668" w:name="_Toc296944533"/>
      <w:bookmarkStart w:id="669" w:name="_Toc312678026"/>
      <w:bookmarkStart w:id="670" w:name="_Toc296347193"/>
      <w:bookmarkStart w:id="671" w:name="_Toc297123541"/>
      <w:bookmarkStart w:id="672" w:name="_Toc297048380"/>
      <w:bookmarkStart w:id="673" w:name="_Toc297120494"/>
      <w:bookmarkStart w:id="674" w:name="_Toc292559904"/>
      <w:bookmarkStart w:id="675" w:name="_Toc297216200"/>
      <w:bookmarkStart w:id="676" w:name="_Toc304295567"/>
      <w:bookmarkStart w:id="677" w:name="_Toc300934990"/>
      <w:bookmarkStart w:id="678" w:name="_Toc312677500"/>
      <w:bookmarkStart w:id="679" w:name="_Toc296891022"/>
      <w:bookmarkStart w:id="680" w:name="_Toc303539147"/>
      <w:bookmarkStart w:id="681" w:name="_Toc296891234"/>
      <w:r>
        <w:rPr>
          <w:rFonts w:hint="eastAsia" w:ascii="宋体" w:hAnsi="宋体" w:eastAsia="宋体" w:cs="宋体"/>
          <w:szCs w:val="21"/>
        </w:rPr>
        <w:t>0.1变更的范围</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关于变更的范围的约定：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工程量增减调整办法：</w:t>
      </w:r>
      <w:r>
        <w:rPr>
          <w:rFonts w:hint="eastAsia" w:ascii="宋体" w:hAnsi="宋体" w:eastAsia="宋体" w:cs="宋体"/>
          <w:szCs w:val="21"/>
          <w:u w:val="single"/>
        </w:rPr>
        <w:t xml:space="preserve"> 单项工程量增减幅度超过工程量清单±15%（不含±15%）时，综合单价由双方协商确定。</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10.4 变更估价</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10.4.1 变更估价原则</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 xml:space="preserve">关于变更估价的约定: </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w:t>
      </w:r>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Start w:id="682" w:name="_Toc303539150"/>
      <w:bookmarkStart w:id="683" w:name="_Toc296891237"/>
      <w:bookmarkStart w:id="684" w:name="_Toc292559402"/>
      <w:bookmarkStart w:id="685" w:name="_Toc297123544"/>
      <w:bookmarkStart w:id="686" w:name="_Toc300934993"/>
      <w:bookmarkStart w:id="687" w:name="_Toc297120497"/>
      <w:bookmarkStart w:id="688" w:name="_Toc296891025"/>
      <w:bookmarkStart w:id="689" w:name="_Toc292559907"/>
      <w:bookmarkStart w:id="690" w:name="_Toc296347196"/>
      <w:bookmarkStart w:id="691" w:name="_Toc296346698"/>
      <w:bookmarkStart w:id="692" w:name="_Toc297216203"/>
      <w:bookmarkStart w:id="693" w:name="_Toc297048383"/>
      <w:bookmarkStart w:id="694" w:name="_Toc296503197"/>
      <w:bookmarkStart w:id="695" w:name="_Toc296944536"/>
      <w:bookmarkStart w:id="696" w:name="_Toc304295570"/>
      <w:bookmarkStart w:id="697" w:name="_Toc312678029"/>
      <w:bookmarkStart w:id="698" w:name="_Toc312677503"/>
      <w:r>
        <w:rPr>
          <w:rFonts w:hint="eastAsia" w:ascii="宋体" w:hAnsi="宋体" w:eastAsia="宋体" w:cs="宋体"/>
          <w:szCs w:val="21"/>
        </w:rPr>
        <w:t>0.5承</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Start w:id="699" w:name="_Toc292559913"/>
      <w:bookmarkStart w:id="700" w:name="_Toc296346704"/>
      <w:bookmarkStart w:id="701" w:name="_Toc297048389"/>
      <w:bookmarkStart w:id="702" w:name="_Toc303539151"/>
      <w:bookmarkStart w:id="703" w:name="_Toc296891243"/>
      <w:bookmarkStart w:id="704" w:name="_Toc300934994"/>
      <w:bookmarkStart w:id="705" w:name="_Toc297123545"/>
      <w:bookmarkStart w:id="706" w:name="_Toc296944542"/>
      <w:bookmarkStart w:id="707" w:name="_Toc296891031"/>
      <w:bookmarkStart w:id="708" w:name="_Toc296347202"/>
      <w:bookmarkStart w:id="709" w:name="_Toc296503203"/>
      <w:bookmarkStart w:id="710" w:name="_Toc297216204"/>
      <w:bookmarkStart w:id="711" w:name="_Toc292559408"/>
      <w:bookmarkStart w:id="712" w:name="_Toc297120503"/>
      <w:r>
        <w:rPr>
          <w:rFonts w:hint="eastAsia" w:ascii="宋体" w:hAnsi="宋体" w:eastAsia="宋体" w:cs="宋体"/>
          <w:szCs w:val="21"/>
        </w:rPr>
        <w:t>包人的合理化建议</w:t>
      </w:r>
    </w:p>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监理人审查承包人合理化建议的期限：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发包人审批承包人合理化建议的期限：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承</w:t>
      </w:r>
      <w:bookmarkStart w:id="713" w:name="_Toc297123546"/>
      <w:bookmarkStart w:id="714" w:name="_Toc312678030"/>
      <w:bookmarkStart w:id="715" w:name="_Toc296346705"/>
      <w:bookmarkStart w:id="716" w:name="_Toc297048390"/>
      <w:bookmarkStart w:id="717" w:name="_Toc318581175"/>
      <w:bookmarkStart w:id="718" w:name="_Toc304295571"/>
      <w:bookmarkStart w:id="719" w:name="_Toc303539152"/>
      <w:bookmarkStart w:id="720" w:name="_Toc300934995"/>
      <w:bookmarkStart w:id="721" w:name="_Toc312677504"/>
      <w:bookmarkStart w:id="722" w:name="_Toc296944543"/>
      <w:bookmarkStart w:id="723" w:name="_Toc296891244"/>
      <w:bookmarkStart w:id="724" w:name="_Toc296891032"/>
      <w:bookmarkStart w:id="725" w:name="_Toc297120504"/>
      <w:bookmarkStart w:id="726" w:name="_Toc297216205"/>
      <w:bookmarkStart w:id="727" w:name="_Toc296347203"/>
      <w:bookmarkStart w:id="728" w:name="_Toc296503204"/>
      <w:bookmarkStart w:id="729" w:name="_Toc292559914"/>
      <w:bookmarkStart w:id="730" w:name="_Toc292559409"/>
      <w:r>
        <w:rPr>
          <w:rFonts w:hint="eastAsia" w:ascii="宋体" w:hAnsi="宋体" w:eastAsia="宋体" w:cs="宋体"/>
          <w:szCs w:val="21"/>
        </w:rPr>
        <w:t>包人提出的合理化建议降低了合同价格或者提高了工程经济效益的奖励的方法和金额为：</w:t>
      </w:r>
      <w:r>
        <w:rPr>
          <w:rFonts w:hint="eastAsia" w:ascii="宋体" w:hAnsi="宋体" w:eastAsia="宋体" w:cs="宋体"/>
          <w:szCs w:val="21"/>
          <w:u w:val="single"/>
        </w:rPr>
        <w:t xml:space="preserve">                                                         </w:t>
      </w:r>
      <w:r>
        <w:rPr>
          <w:rFonts w:hint="eastAsia" w:ascii="宋体" w:hAnsi="宋体" w:eastAsia="宋体" w:cs="宋体"/>
          <w:szCs w:val="21"/>
        </w:rPr>
        <w:t>。</w:t>
      </w:r>
    </w:p>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w:t>
      </w:r>
      <w:bookmarkStart w:id="731" w:name="_Toc297048385"/>
      <w:bookmarkStart w:id="732" w:name="_Toc312678033"/>
      <w:bookmarkStart w:id="733" w:name="_Toc296944538"/>
      <w:bookmarkStart w:id="734" w:name="_Toc296891239"/>
      <w:bookmarkStart w:id="735" w:name="_Toc300934997"/>
      <w:bookmarkStart w:id="736" w:name="_Toc312677507"/>
      <w:bookmarkStart w:id="737" w:name="_Toc304295574"/>
      <w:bookmarkStart w:id="738" w:name="_Toc296503199"/>
      <w:bookmarkStart w:id="739" w:name="_Toc297123548"/>
      <w:bookmarkStart w:id="740" w:name="_Toc303539154"/>
      <w:bookmarkStart w:id="741" w:name="_Toc297216207"/>
      <w:bookmarkStart w:id="742" w:name="_Toc292559404"/>
      <w:bookmarkStart w:id="743" w:name="_Toc296347198"/>
      <w:bookmarkStart w:id="744" w:name="_Toc296891027"/>
      <w:bookmarkStart w:id="745" w:name="_Toc296346700"/>
      <w:bookmarkStart w:id="746" w:name="_Toc292559909"/>
      <w:bookmarkStart w:id="747" w:name="_Toc297120499"/>
      <w:r>
        <w:rPr>
          <w:rFonts w:hint="eastAsia" w:ascii="宋体" w:hAnsi="宋体" w:eastAsia="宋体" w:cs="宋体"/>
          <w:szCs w:val="21"/>
        </w:rPr>
        <w:t>0.7 暂估价</w:t>
      </w:r>
    </w:p>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kern w:val="0"/>
          <w:szCs w:val="21"/>
        </w:rPr>
        <w:t>暂</w:t>
      </w:r>
      <w:bookmarkStart w:id="748" w:name="_Toc312678034"/>
      <w:bookmarkStart w:id="749" w:name="_Toc312677508"/>
      <w:bookmarkStart w:id="750" w:name="_Toc318581176"/>
      <w:r>
        <w:rPr>
          <w:rFonts w:hint="eastAsia" w:ascii="宋体" w:hAnsi="宋体" w:eastAsia="宋体" w:cs="宋体"/>
          <w:kern w:val="0"/>
          <w:szCs w:val="21"/>
        </w:rPr>
        <w:t>估价材料和工程设备的明细详见附件11：《</w:t>
      </w:r>
      <w:r>
        <w:rPr>
          <w:rFonts w:hint="eastAsia" w:ascii="宋体" w:hAnsi="宋体" w:eastAsia="宋体" w:cs="宋体"/>
          <w:szCs w:val="21"/>
        </w:rPr>
        <w:t>暂估价一览表》</w:t>
      </w:r>
      <w:r>
        <w:rPr>
          <w:rFonts w:hint="eastAsia" w:ascii="宋体" w:hAnsi="宋体" w:eastAsia="宋体" w:cs="宋体"/>
          <w:kern w:val="0"/>
          <w:szCs w:val="21"/>
        </w:rPr>
        <w:t>。</w:t>
      </w:r>
    </w:p>
    <w:bookmarkEnd w:id="748"/>
    <w:bookmarkEnd w:id="749"/>
    <w:bookmarkEnd w:id="750"/>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w:t>
      </w:r>
      <w:bookmarkStart w:id="751" w:name="_Toc312678035"/>
      <w:bookmarkStart w:id="752" w:name="_Toc318581177"/>
      <w:bookmarkStart w:id="753" w:name="_Toc312677509"/>
      <w:r>
        <w:rPr>
          <w:rFonts w:hint="eastAsia" w:ascii="宋体" w:hAnsi="宋体" w:eastAsia="宋体" w:cs="宋体"/>
          <w:szCs w:val="21"/>
        </w:rPr>
        <w:t>0.7.1 依法必须招标的暂估价项目</w:t>
      </w:r>
    </w:p>
    <w:bookmarkEnd w:id="751"/>
    <w:bookmarkEnd w:id="752"/>
    <w:bookmarkEnd w:id="753"/>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对于依法必须招标的暂估价项目的确认和批准采取第</w:t>
      </w:r>
      <w:r>
        <w:rPr>
          <w:rFonts w:hint="eastAsia" w:ascii="宋体" w:hAnsi="宋体" w:eastAsia="宋体" w:cs="宋体"/>
          <w:szCs w:val="21"/>
          <w:u w:val="single"/>
        </w:rPr>
        <w:t xml:space="preserve">    </w:t>
      </w:r>
      <w:r>
        <w:rPr>
          <w:rFonts w:hint="eastAsia" w:ascii="宋体" w:hAnsi="宋体" w:eastAsia="宋体" w:cs="宋体"/>
          <w:szCs w:val="21"/>
        </w:rPr>
        <w:t>种方式确定。</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10.7.2 不属于依法必须招标的暂估价项目</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对于不属于依法必须招标的暂估价项目的确认和批准采取第</w:t>
      </w:r>
      <w:r>
        <w:rPr>
          <w:rFonts w:hint="eastAsia" w:ascii="宋体" w:hAnsi="宋体" w:eastAsia="宋体" w:cs="宋体"/>
          <w:szCs w:val="21"/>
          <w:u w:val="single"/>
        </w:rPr>
        <w:t xml:space="preserve">   </w:t>
      </w:r>
      <w:r>
        <w:rPr>
          <w:rFonts w:hint="eastAsia" w:ascii="宋体" w:hAnsi="宋体" w:eastAsia="宋体" w:cs="宋体"/>
          <w:szCs w:val="21"/>
        </w:rPr>
        <w:t xml:space="preserve"> 种方式确定。</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szCs w:val="21"/>
        </w:rPr>
        <w:t>第3种方式：</w:t>
      </w:r>
      <w:r>
        <w:rPr>
          <w:rFonts w:hint="eastAsia" w:ascii="宋体" w:hAnsi="宋体" w:eastAsia="宋体" w:cs="宋体"/>
          <w:kern w:val="0"/>
          <w:szCs w:val="21"/>
        </w:rPr>
        <w:t>承包人直接实施的暂估价项目</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承包人直接实施的暂估价项目的约定：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10.8 暂列金额</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合同当事人关于暂列金额使用的约定：</w:t>
      </w:r>
      <w:r>
        <w:rPr>
          <w:rFonts w:hint="eastAsia" w:ascii="宋体" w:hAnsi="宋体" w:eastAsia="宋体" w:cs="宋体"/>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754" w:name="_Toc391711801"/>
      <w:bookmarkStart w:id="755" w:name="_Toc391711946"/>
      <w:bookmarkStart w:id="756" w:name="_Toc351203643"/>
      <w:r>
        <w:rPr>
          <w:rFonts w:hint="eastAsia" w:ascii="宋体" w:hAnsi="宋体" w:eastAsia="宋体" w:cs="宋体"/>
          <w:b w:val="0"/>
          <w:sz w:val="21"/>
          <w:szCs w:val="21"/>
        </w:rPr>
        <w:t>11. 价格调整</w:t>
      </w:r>
      <w:bookmarkEnd w:id="754"/>
      <w:bookmarkEnd w:id="755"/>
      <w:bookmarkEnd w:id="756"/>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bookmarkStart w:id="757" w:name="_Toc296944540"/>
      <w:bookmarkStart w:id="758" w:name="_Toc296891029"/>
      <w:bookmarkStart w:id="759" w:name="_Toc312678039"/>
      <w:bookmarkStart w:id="760" w:name="_Toc296346702"/>
      <w:bookmarkStart w:id="761" w:name="_Toc303539157"/>
      <w:bookmarkStart w:id="762" w:name="_Toc297123550"/>
      <w:bookmarkStart w:id="763" w:name="_Toc297216209"/>
      <w:bookmarkStart w:id="764" w:name="_Toc297048387"/>
      <w:bookmarkStart w:id="765" w:name="_Toc297120501"/>
      <w:bookmarkStart w:id="766" w:name="_Toc292559911"/>
      <w:bookmarkStart w:id="767" w:name="_Toc296347200"/>
      <w:bookmarkStart w:id="768" w:name="_Toc300935000"/>
      <w:bookmarkStart w:id="769" w:name="_Toc292559406"/>
      <w:bookmarkStart w:id="770" w:name="_Toc296503201"/>
      <w:bookmarkStart w:id="771" w:name="_Toc296891241"/>
      <w:bookmarkStart w:id="772" w:name="_Toc304295577"/>
      <w:r>
        <w:rPr>
          <w:rFonts w:hint="eastAsia" w:ascii="宋体" w:hAnsi="宋体" w:eastAsia="宋体" w:cs="宋体"/>
          <w:szCs w:val="21"/>
        </w:rPr>
        <w:t>11.1 市场价格波动引起的调整</w:t>
      </w:r>
    </w:p>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kern w:val="0"/>
          <w:szCs w:val="21"/>
        </w:rPr>
        <w:t>市场价格波动是否调整合同价格的约定：</w:t>
      </w:r>
      <w:r>
        <w:rPr>
          <w:rFonts w:hint="eastAsia" w:ascii="宋体" w:hAnsi="宋体" w:eastAsia="宋体" w:cs="宋体"/>
          <w:szCs w:val="21"/>
          <w:u w:val="single"/>
        </w:rPr>
        <w:t xml:space="preserve"> 否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因市场价格波动调整合同价格，采用以下第</w:t>
      </w:r>
      <w:r>
        <w:rPr>
          <w:rFonts w:hint="eastAsia" w:ascii="宋体" w:hAnsi="宋体" w:eastAsia="宋体" w:cs="宋体"/>
          <w:szCs w:val="21"/>
          <w:u w:val="single"/>
        </w:rPr>
        <w:t xml:space="preserve"> 3  </w:t>
      </w:r>
      <w:r>
        <w:rPr>
          <w:rFonts w:hint="eastAsia" w:ascii="宋体" w:hAnsi="宋体" w:eastAsia="宋体" w:cs="宋体"/>
          <w:szCs w:val="21"/>
        </w:rPr>
        <w:t>种方式对合同价格进行调整：</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第1种方式：采用价格指数进行价格调整。</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关于各可调因子、定值和变值权重，以及基本价格指数及其来源的约定：</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第2种方式：采用造价信息进行价格调整。</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（2）关于基准价格的约定：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专用合同条款①承包人在已标价工程量清单或预算书中载明的材料单价低于基准价格的：专用合同条款合同履行期间材料单价涨幅以基准价格为基础超过</w:t>
      </w:r>
      <w:r>
        <w:rPr>
          <w:rFonts w:hint="eastAsia" w:ascii="宋体" w:hAnsi="宋体" w:eastAsia="宋体" w:cs="宋体"/>
          <w:szCs w:val="21"/>
          <w:u w:val="single"/>
        </w:rPr>
        <w:t xml:space="preserve">   </w:t>
      </w:r>
      <w:r>
        <w:rPr>
          <w:rFonts w:hint="eastAsia" w:ascii="宋体" w:hAnsi="宋体" w:eastAsia="宋体" w:cs="宋体"/>
          <w:szCs w:val="21"/>
        </w:rPr>
        <w:t>%时，或材料单价跌幅以已标价工程量清单或预算书中载明材料单价为基础超过</w:t>
      </w:r>
      <w:r>
        <w:rPr>
          <w:rFonts w:hint="eastAsia" w:ascii="宋体" w:hAnsi="宋体" w:eastAsia="宋体" w:cs="宋体"/>
          <w:szCs w:val="21"/>
          <w:u w:val="single"/>
        </w:rPr>
        <w:t xml:space="preserve">   </w:t>
      </w:r>
      <w:r>
        <w:rPr>
          <w:rFonts w:hint="eastAsia" w:ascii="宋体" w:hAnsi="宋体" w:eastAsia="宋体" w:cs="宋体"/>
          <w:szCs w:val="21"/>
        </w:rPr>
        <w:t>%时，其超过部分据实调整。</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②承包人在已标价工程量清单或预算书中载明的材料单价高于基准价格的：专用合同条款合同履行期间材料单价跌幅以基准价格为基础超过</w:t>
      </w:r>
      <w:r>
        <w:rPr>
          <w:rFonts w:hint="eastAsia" w:ascii="宋体" w:hAnsi="宋体" w:eastAsia="宋体" w:cs="宋体"/>
          <w:szCs w:val="21"/>
          <w:u w:val="single"/>
        </w:rPr>
        <w:t xml:space="preserve">   </w:t>
      </w:r>
      <w:r>
        <w:rPr>
          <w:rFonts w:hint="eastAsia" w:ascii="宋体" w:hAnsi="宋体" w:eastAsia="宋体" w:cs="宋体"/>
          <w:szCs w:val="21"/>
        </w:rPr>
        <w:t>%时，材料单价涨幅以已标价工程量清单或预算书中载明材料单价为基础超过</w:t>
      </w:r>
      <w:r>
        <w:rPr>
          <w:rFonts w:hint="eastAsia" w:ascii="宋体" w:hAnsi="宋体" w:eastAsia="宋体" w:cs="宋体"/>
          <w:szCs w:val="21"/>
          <w:u w:val="single"/>
        </w:rPr>
        <w:t xml:space="preserve">   </w:t>
      </w:r>
      <w:r>
        <w:rPr>
          <w:rFonts w:hint="eastAsia" w:ascii="宋体" w:hAnsi="宋体" w:eastAsia="宋体" w:cs="宋体"/>
          <w:szCs w:val="21"/>
        </w:rPr>
        <w:t>%时，其超过部分据实调整。</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③承包人在已标价工程量清单或预算书中载明的材料单价等于基准单价的：专用合同条款合同履行期间材料单价涨跌幅以基准单价为基础超过±</w:t>
      </w:r>
      <w:r>
        <w:rPr>
          <w:rFonts w:hint="eastAsia" w:ascii="宋体" w:hAnsi="宋体" w:eastAsia="宋体" w:cs="宋体"/>
          <w:szCs w:val="21"/>
          <w:u w:val="single"/>
        </w:rPr>
        <w:t xml:space="preserve">   </w:t>
      </w:r>
      <w:r>
        <w:rPr>
          <w:rFonts w:hint="eastAsia" w:ascii="宋体" w:hAnsi="宋体" w:eastAsia="宋体" w:cs="宋体"/>
          <w:szCs w:val="21"/>
        </w:rPr>
        <w:t>%时，其超过部分据实调整。</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 xml:space="preserve">   第3种方式：其他价格调整方式：</w:t>
      </w:r>
      <w:r>
        <w:rPr>
          <w:rFonts w:hint="eastAsia" w:ascii="宋体" w:hAnsi="宋体" w:eastAsia="宋体" w:cs="宋体"/>
          <w:szCs w:val="21"/>
          <w:u w:val="single"/>
        </w:rPr>
        <w:t xml:space="preserve">                                        </w:t>
      </w:r>
      <w:r>
        <w:rPr>
          <w:rFonts w:hint="eastAsia" w:ascii="宋体" w:hAnsi="宋体" w:eastAsia="宋体" w:cs="宋体"/>
          <w:szCs w:val="21"/>
        </w:rPr>
        <w:t>。</w:t>
      </w:r>
    </w:p>
    <w:bookmarkEnd w:id="658"/>
    <w:bookmarkEnd w:id="659"/>
    <w:bookmarkEnd w:id="660"/>
    <w:bookmarkEnd w:id="661"/>
    <w:bookmarkEnd w:id="662"/>
    <w:bookmarkEnd w:id="663"/>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773" w:name="_Toc296503205"/>
      <w:bookmarkStart w:id="774" w:name="_Toc292559410"/>
      <w:bookmarkStart w:id="775" w:name="_Toc297120505"/>
      <w:bookmarkStart w:id="776" w:name="_Toc296346706"/>
      <w:bookmarkStart w:id="777" w:name="_Toc296347204"/>
      <w:bookmarkStart w:id="778" w:name="_Toc296944544"/>
      <w:bookmarkStart w:id="779" w:name="_Toc296891245"/>
      <w:bookmarkStart w:id="780" w:name="_Toc297048391"/>
      <w:bookmarkStart w:id="781" w:name="_Toc292559915"/>
      <w:bookmarkStart w:id="782" w:name="_Toc296891033"/>
      <w:bookmarkStart w:id="783" w:name="_Toc351203644"/>
      <w:bookmarkStart w:id="784" w:name="_Toc391711802"/>
      <w:bookmarkStart w:id="785" w:name="_Toc391711947"/>
      <w:bookmarkStart w:id="786" w:name="_Toc303539159"/>
      <w:bookmarkStart w:id="787" w:name="_Toc304295579"/>
      <w:bookmarkStart w:id="788" w:name="_Toc297123552"/>
      <w:bookmarkStart w:id="789" w:name="_Toc300935002"/>
      <w:bookmarkStart w:id="790" w:name="_Toc297216211"/>
      <w:bookmarkStart w:id="791" w:name="_Toc312678040"/>
      <w:r>
        <w:rPr>
          <w:rFonts w:hint="eastAsia" w:ascii="宋体" w:hAnsi="宋体" w:eastAsia="宋体" w:cs="宋体"/>
          <w:b w:val="0"/>
          <w:sz w:val="21"/>
          <w:szCs w:val="21"/>
        </w:rPr>
        <w:t xml:space="preserve">12. </w:t>
      </w:r>
      <w:bookmarkEnd w:id="773"/>
      <w:bookmarkEnd w:id="774"/>
      <w:bookmarkEnd w:id="775"/>
      <w:bookmarkEnd w:id="776"/>
      <w:bookmarkEnd w:id="777"/>
      <w:bookmarkEnd w:id="778"/>
      <w:bookmarkEnd w:id="779"/>
      <w:bookmarkEnd w:id="780"/>
      <w:bookmarkEnd w:id="781"/>
      <w:bookmarkEnd w:id="782"/>
      <w:r>
        <w:rPr>
          <w:rFonts w:hint="eastAsia" w:ascii="宋体" w:hAnsi="宋体" w:eastAsia="宋体" w:cs="宋体"/>
          <w:b w:val="0"/>
          <w:sz w:val="21"/>
          <w:szCs w:val="21"/>
        </w:rPr>
        <w:t>合同价格、计量与支付</w:t>
      </w:r>
      <w:bookmarkEnd w:id="783"/>
      <w:bookmarkEnd w:id="784"/>
      <w:bookmarkEnd w:id="785"/>
    </w:p>
    <w:bookmarkEnd w:id="786"/>
    <w:bookmarkEnd w:id="787"/>
    <w:bookmarkEnd w:id="788"/>
    <w:bookmarkEnd w:id="789"/>
    <w:bookmarkEnd w:id="790"/>
    <w:bookmarkEnd w:id="791"/>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bookmarkStart w:id="792" w:name="_Toc292559411"/>
      <w:bookmarkStart w:id="793" w:name="_Toc267251461"/>
      <w:bookmarkStart w:id="794" w:name="_Toc292559916"/>
      <w:bookmarkStart w:id="795" w:name="_Toc297048392"/>
      <w:bookmarkStart w:id="796" w:name="_Toc296891246"/>
      <w:bookmarkStart w:id="797" w:name="_Toc296346707"/>
      <w:bookmarkStart w:id="798" w:name="_Toc297120506"/>
      <w:bookmarkStart w:id="799" w:name="_Toc296891034"/>
      <w:bookmarkStart w:id="800" w:name="_Toc296503206"/>
      <w:bookmarkStart w:id="801" w:name="_Toc296944545"/>
      <w:bookmarkStart w:id="802" w:name="_Toc296347205"/>
      <w:bookmarkStart w:id="803" w:name="_Toc304295580"/>
      <w:bookmarkStart w:id="804" w:name="_Toc297216212"/>
      <w:bookmarkStart w:id="805" w:name="_Toc297123553"/>
      <w:bookmarkStart w:id="806" w:name="_Toc300935003"/>
      <w:bookmarkStart w:id="807" w:name="_Toc312678041"/>
      <w:bookmarkStart w:id="808" w:name="_Toc303539160"/>
      <w:r>
        <w:rPr>
          <w:rFonts w:hint="eastAsia" w:ascii="宋体" w:hAnsi="宋体" w:eastAsia="宋体" w:cs="宋体"/>
          <w:szCs w:val="21"/>
        </w:rPr>
        <w:t>12.1 合</w:t>
      </w:r>
      <w:bookmarkEnd w:id="792"/>
      <w:bookmarkEnd w:id="793"/>
      <w:bookmarkEnd w:id="794"/>
      <w:r>
        <w:rPr>
          <w:rFonts w:hint="eastAsia" w:ascii="宋体" w:hAnsi="宋体" w:eastAsia="宋体" w:cs="宋体"/>
          <w:szCs w:val="21"/>
        </w:rPr>
        <w:t>同价</w:t>
      </w:r>
      <w:bookmarkEnd w:id="795"/>
      <w:bookmarkEnd w:id="796"/>
      <w:bookmarkEnd w:id="797"/>
      <w:bookmarkEnd w:id="798"/>
      <w:bookmarkEnd w:id="799"/>
      <w:bookmarkEnd w:id="800"/>
      <w:bookmarkEnd w:id="801"/>
      <w:bookmarkEnd w:id="802"/>
      <w:r>
        <w:rPr>
          <w:rFonts w:hint="eastAsia" w:ascii="宋体" w:hAnsi="宋体" w:eastAsia="宋体" w:cs="宋体"/>
          <w:szCs w:val="21"/>
        </w:rPr>
        <w:t>格形式</w:t>
      </w:r>
    </w:p>
    <w:bookmarkEnd w:id="803"/>
    <w:bookmarkEnd w:id="804"/>
    <w:bookmarkEnd w:id="805"/>
    <w:bookmarkEnd w:id="806"/>
    <w:bookmarkEnd w:id="807"/>
    <w:bookmarkEnd w:id="808"/>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rPr>
      </w:pPr>
      <w:r>
        <w:rPr>
          <w:rFonts w:hint="eastAsia" w:ascii="宋体" w:hAnsi="宋体" w:eastAsia="宋体" w:cs="宋体"/>
          <w:szCs w:val="21"/>
        </w:rPr>
        <w:t>1、单价合同。</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综合单价包含的风险范围：</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u w:val="single"/>
        </w:rPr>
      </w:pPr>
      <w:r>
        <w:rPr>
          <w:rFonts w:hint="eastAsia" w:ascii="宋体" w:hAnsi="宋体" w:eastAsia="宋体" w:cs="宋体"/>
          <w:szCs w:val="21"/>
        </w:rPr>
        <w:t>风险费用的计算方法：</w:t>
      </w:r>
      <w:r>
        <w:rPr>
          <w:rFonts w:hint="eastAsia" w:ascii="宋体" w:hAnsi="宋体" w:eastAsia="宋体" w:cs="宋体"/>
          <w:u w:val="single"/>
        </w:rPr>
        <w:t>承包人应承担5%以内的材料价格风险，10%以内的施工机械使用费风险，在此范围内的，结算时不予调整。</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rPr>
        <w:t>双方约定合同价款的其他调整因素：</w:t>
      </w:r>
      <w:r>
        <w:rPr>
          <w:rFonts w:hint="eastAsia" w:ascii="宋体" w:hAnsi="宋体" w:eastAsia="宋体" w:cs="宋体"/>
          <w:u w:val="single"/>
        </w:rPr>
        <w:t>发包人代表签证的工程量增减；发包人代表签证后的工程变更及工程洽商。</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风险范围以外合同价格的调整方法：</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2、总价合同。</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总价包含的风险范围：</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风险费用的计算方法：</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风险范围以外合同价格的调整方法：</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3、其他价格方式：</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bookmarkStart w:id="809" w:name="_Toc297123554"/>
      <w:bookmarkStart w:id="810" w:name="_Toc300935004"/>
      <w:bookmarkStart w:id="811" w:name="_Toc297216213"/>
      <w:bookmarkStart w:id="812" w:name="_Toc303539161"/>
      <w:bookmarkStart w:id="813" w:name="_Toc312678042"/>
      <w:bookmarkStart w:id="814" w:name="_Toc304295581"/>
      <w:bookmarkStart w:id="815" w:name="_Toc296347206"/>
      <w:bookmarkStart w:id="816" w:name="_Toc292559917"/>
      <w:bookmarkStart w:id="817" w:name="_Toc296346708"/>
      <w:bookmarkStart w:id="818" w:name="_Toc297120507"/>
      <w:bookmarkStart w:id="819" w:name="_Toc297048393"/>
      <w:bookmarkStart w:id="820" w:name="_Toc296891247"/>
      <w:bookmarkStart w:id="821" w:name="_Toc292559412"/>
      <w:bookmarkStart w:id="822" w:name="_Toc296503207"/>
      <w:bookmarkStart w:id="823" w:name="_Toc296944546"/>
      <w:bookmarkStart w:id="824" w:name="_Toc296891035"/>
      <w:r>
        <w:rPr>
          <w:rFonts w:hint="eastAsia" w:ascii="宋体" w:hAnsi="宋体" w:eastAsia="宋体" w:cs="宋体"/>
          <w:szCs w:val="21"/>
        </w:rPr>
        <w:t>12.2 预付款</w:t>
      </w:r>
    </w:p>
    <w:bookmarkEnd w:id="809"/>
    <w:bookmarkEnd w:id="810"/>
    <w:bookmarkEnd w:id="811"/>
    <w:bookmarkEnd w:id="812"/>
    <w:bookmarkEnd w:id="813"/>
    <w:bookmarkEnd w:id="814"/>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12.2.1 预付款的支付</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预付款支付比例或金额：</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预付款支付期限：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预付款扣回的方式：</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12.2.2 预付款担保</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承包人提交预付款担保的期限：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预付款担保的形式为：</w:t>
      </w:r>
      <w:r>
        <w:rPr>
          <w:rFonts w:hint="eastAsia" w:ascii="宋体" w:hAnsi="宋体" w:eastAsia="宋体" w:cs="宋体"/>
          <w:szCs w:val="21"/>
          <w:u w:val="single"/>
        </w:rPr>
        <w:t xml:space="preserve">                                              </w:t>
      </w:r>
      <w:r>
        <w:rPr>
          <w:rFonts w:hint="eastAsia" w:ascii="宋体" w:hAnsi="宋体" w:eastAsia="宋体" w:cs="宋体"/>
          <w:szCs w:val="21"/>
        </w:rPr>
        <w:t>。</w:t>
      </w:r>
    </w:p>
    <w:bookmarkEnd w:id="815"/>
    <w:bookmarkEnd w:id="816"/>
    <w:bookmarkEnd w:id="817"/>
    <w:bookmarkEnd w:id="818"/>
    <w:bookmarkEnd w:id="819"/>
    <w:bookmarkEnd w:id="820"/>
    <w:bookmarkEnd w:id="821"/>
    <w:bookmarkEnd w:id="822"/>
    <w:bookmarkEnd w:id="823"/>
    <w:bookmarkEnd w:id="824"/>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12.3 计量</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12.3.1 计量原则</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工程量计算规则：</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12.3.2 计量周期</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关于计量周期的约定：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12.3.3 单价合同的计量</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关于单价合同计量的约定：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12.3.4 总价合同的计量</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关于总价合同计量的约定：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12.3.5总价合同采用支付分解表计量支付的，是否适用第</w:t>
      </w:r>
      <w:r>
        <w:rPr>
          <w:rFonts w:hint="eastAsia" w:ascii="宋体" w:hAnsi="宋体" w:eastAsia="宋体" w:cs="宋体"/>
          <w:kern w:val="0"/>
          <w:szCs w:val="21"/>
        </w:rPr>
        <w:t xml:space="preserve">12.3.4 </w:t>
      </w:r>
      <w:r>
        <w:rPr>
          <w:rFonts w:hint="eastAsia" w:ascii="宋体" w:hAnsi="宋体" w:eastAsia="宋体" w:cs="宋体"/>
          <w:szCs w:val="21"/>
        </w:rPr>
        <w:t>项</w:t>
      </w:r>
      <w:r>
        <w:rPr>
          <w:rFonts w:hint="eastAsia" w:ascii="宋体" w:hAnsi="宋体" w:eastAsia="宋体" w:cs="宋体"/>
          <w:kern w:val="0"/>
          <w:szCs w:val="21"/>
        </w:rPr>
        <w:t>〔总价合同的计量〕</w:t>
      </w:r>
      <w:r>
        <w:rPr>
          <w:rFonts w:hint="eastAsia" w:ascii="宋体" w:hAnsi="宋体" w:eastAsia="宋体" w:cs="宋体"/>
          <w:szCs w:val="21"/>
        </w:rPr>
        <w:t>约定进行计量：</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12.3.6 其他价格形式合同的计量</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其他价格形式的计量方式和程序：</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12.4 工程进度款支付</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bookmarkStart w:id="825" w:name="_Toc296503211"/>
      <w:bookmarkStart w:id="826" w:name="_Toc296347210"/>
      <w:bookmarkStart w:id="827" w:name="_Toc292559416"/>
      <w:bookmarkStart w:id="828" w:name="_Toc296346712"/>
      <w:bookmarkStart w:id="829" w:name="_Toc296944550"/>
      <w:bookmarkStart w:id="830" w:name="_Toc297120511"/>
      <w:bookmarkStart w:id="831" w:name="_Toc297123556"/>
      <w:bookmarkStart w:id="832" w:name="_Toc296891039"/>
      <w:bookmarkStart w:id="833" w:name="_Toc296891251"/>
      <w:bookmarkStart w:id="834" w:name="_Toc292559921"/>
      <w:bookmarkStart w:id="835" w:name="_Toc303539163"/>
      <w:bookmarkStart w:id="836" w:name="_Toc300935006"/>
      <w:bookmarkStart w:id="837" w:name="_Toc297216215"/>
      <w:bookmarkStart w:id="838" w:name="_Toc297048397"/>
      <w:r>
        <w:rPr>
          <w:rFonts w:hint="eastAsia" w:ascii="宋体" w:hAnsi="宋体" w:eastAsia="宋体" w:cs="宋体"/>
          <w:szCs w:val="21"/>
        </w:rPr>
        <w:t>12.4.1 付款周期</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关于付款周期的约定：</w:t>
      </w:r>
      <w:r>
        <w:rPr>
          <w:rFonts w:hint="eastAsia" w:ascii="宋体" w:hAnsi="宋体" w:eastAsia="宋体" w:cs="宋体"/>
          <w:b/>
          <w:szCs w:val="21"/>
          <w:u w:val="single"/>
        </w:rPr>
        <w:t xml:space="preserve">                                          </w:t>
      </w:r>
      <w:r>
        <w:rPr>
          <w:rFonts w:hint="eastAsia" w:ascii="宋体" w:hAnsi="宋体" w:eastAsia="宋体" w:cs="宋体"/>
          <w:szCs w:val="21"/>
        </w:rPr>
        <w:t xml:space="preserve"> </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12.4.2 进度付款申请单的编制</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关于进度付款申请单编制的约定：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w:t>
      </w:r>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r>
        <w:rPr>
          <w:rFonts w:hint="eastAsia" w:ascii="宋体" w:hAnsi="宋体" w:eastAsia="宋体" w:cs="宋体"/>
          <w:szCs w:val="21"/>
        </w:rPr>
        <w:t>2.4.3 进度付款申请单的提交</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（1）单价合同进度付款申请单提交的约定：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（2）总价合同进度付款申请单提交的约定：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（3）其他价格形式合同进度付款申请单提交的约定：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12.4.4 进度款审核和支付</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（1）监理人审查并报送发包人的期限：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发包人完成审批并签发进度款支付证书的期限：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（2）发包人支付进度款的期限：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发包人逾期支付进度款的违约金的计算方式：</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12.4.6 支付分解表的编制</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2、总价合同支付分解表的编制与审批：</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3、单价合同的总价项目支付分解表的编制与审批：</w:t>
      </w:r>
      <w:r>
        <w:rPr>
          <w:rFonts w:hint="eastAsia" w:ascii="宋体" w:hAnsi="宋体" w:eastAsia="宋体" w:cs="宋体"/>
          <w:szCs w:val="21"/>
          <w:u w:val="single"/>
        </w:rPr>
        <w:t xml:space="preserve">                         </w:t>
      </w:r>
      <w:r>
        <w:rPr>
          <w:rFonts w:hint="eastAsia" w:ascii="宋体" w:hAnsi="宋体" w:eastAsia="宋体" w:cs="宋体"/>
          <w:szCs w:val="21"/>
        </w:rPr>
        <w:t>。</w:t>
      </w:r>
    </w:p>
    <w:bookmarkEnd w:id="664"/>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839" w:name="_Toc391711948"/>
      <w:bookmarkStart w:id="840" w:name="_Toc391711803"/>
      <w:bookmarkStart w:id="841" w:name="_Toc351203645"/>
      <w:bookmarkStart w:id="842" w:name="_Toc297120519"/>
      <w:bookmarkStart w:id="843" w:name="_Toc296944558"/>
      <w:bookmarkStart w:id="844" w:name="_Toc296891259"/>
      <w:bookmarkStart w:id="845" w:name="_Toc296503219"/>
      <w:bookmarkStart w:id="846" w:name="_Toc292559424"/>
      <w:bookmarkStart w:id="847" w:name="_Toc296347218"/>
      <w:bookmarkStart w:id="848" w:name="_Toc297216223"/>
      <w:bookmarkStart w:id="849" w:name="_Toc300935015"/>
      <w:bookmarkStart w:id="850" w:name="_Toc304295593"/>
      <w:bookmarkStart w:id="851" w:name="_Toc296346720"/>
      <w:bookmarkStart w:id="852" w:name="_Toc297048405"/>
      <w:bookmarkStart w:id="853" w:name="_Toc296891047"/>
      <w:bookmarkStart w:id="854" w:name="_Toc292559929"/>
      <w:bookmarkStart w:id="855" w:name="_Toc297123564"/>
      <w:bookmarkStart w:id="856" w:name="_Toc303539172"/>
      <w:bookmarkStart w:id="857" w:name="_Toc312678053"/>
      <w:r>
        <w:rPr>
          <w:rFonts w:hint="eastAsia" w:ascii="宋体" w:hAnsi="宋体" w:eastAsia="宋体" w:cs="宋体"/>
          <w:b w:val="0"/>
          <w:sz w:val="21"/>
          <w:szCs w:val="21"/>
        </w:rPr>
        <w:t>13. 验收和工程试车</w:t>
      </w:r>
      <w:bookmarkEnd w:id="839"/>
      <w:bookmarkEnd w:id="840"/>
      <w:bookmarkEnd w:id="841"/>
    </w:p>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13.1 分部分项工程验收</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13.1.2监理人不能按时进行验收时，应提前</w:t>
      </w:r>
      <w:r>
        <w:rPr>
          <w:rFonts w:hint="eastAsia" w:ascii="宋体" w:hAnsi="宋体" w:eastAsia="宋体" w:cs="宋体"/>
          <w:szCs w:val="21"/>
          <w:u w:val="single"/>
        </w:rPr>
        <w:t xml:space="preserve">       </w:t>
      </w:r>
      <w:r>
        <w:rPr>
          <w:rFonts w:hint="eastAsia" w:ascii="宋体" w:hAnsi="宋体" w:eastAsia="宋体" w:cs="宋体"/>
          <w:szCs w:val="21"/>
        </w:rPr>
        <w:t>小时提交书面延期要求。</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b/>
          <w:szCs w:val="21"/>
        </w:rPr>
      </w:pPr>
      <w:r>
        <w:rPr>
          <w:rFonts w:hint="eastAsia" w:ascii="宋体" w:hAnsi="宋体" w:eastAsia="宋体" w:cs="宋体"/>
          <w:szCs w:val="21"/>
        </w:rPr>
        <w:t>关于延期最长不得超过：</w:t>
      </w:r>
      <w:r>
        <w:rPr>
          <w:rFonts w:hint="eastAsia" w:ascii="宋体" w:hAnsi="宋体" w:eastAsia="宋体" w:cs="宋体"/>
          <w:szCs w:val="21"/>
          <w:u w:val="single"/>
        </w:rPr>
        <w:t xml:space="preserve">         </w:t>
      </w:r>
      <w:r>
        <w:rPr>
          <w:rFonts w:hint="eastAsia" w:ascii="宋体" w:hAnsi="宋体" w:eastAsia="宋体" w:cs="宋体"/>
          <w:szCs w:val="21"/>
        </w:rPr>
        <w:t>小时。</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bookmarkStart w:id="858" w:name="_Toc292559428"/>
      <w:bookmarkStart w:id="859" w:name="_Toc296347222"/>
      <w:bookmarkStart w:id="860" w:name="_Toc296891263"/>
      <w:bookmarkStart w:id="861" w:name="_Toc296346724"/>
      <w:bookmarkStart w:id="862" w:name="_Toc296891051"/>
      <w:bookmarkStart w:id="863" w:name="_Toc303539173"/>
      <w:bookmarkStart w:id="864" w:name="_Toc300935016"/>
      <w:bookmarkStart w:id="865" w:name="_Toc297216224"/>
      <w:bookmarkStart w:id="866" w:name="_Toc296503223"/>
      <w:bookmarkStart w:id="867" w:name="_Toc297120523"/>
      <w:bookmarkStart w:id="868" w:name="_Toc297123565"/>
      <w:bookmarkStart w:id="869" w:name="_Toc296944562"/>
      <w:bookmarkStart w:id="870" w:name="_Toc312678056"/>
      <w:bookmarkStart w:id="871" w:name="_Toc292559933"/>
      <w:bookmarkStart w:id="872" w:name="_Toc304295596"/>
      <w:bookmarkStart w:id="873" w:name="_Toc297048409"/>
      <w:bookmarkStart w:id="874" w:name="_Toc267251470"/>
      <w:bookmarkStart w:id="875" w:name="_Toc267251475"/>
      <w:bookmarkStart w:id="876" w:name="_Toc267251474"/>
      <w:bookmarkStart w:id="877" w:name="_Toc267251472"/>
      <w:bookmarkStart w:id="878" w:name="_Toc267251476"/>
      <w:bookmarkStart w:id="879" w:name="_Toc267251473"/>
      <w:bookmarkStart w:id="880" w:name="_Toc267251471"/>
      <w:r>
        <w:rPr>
          <w:rFonts w:hint="eastAsia" w:ascii="宋体" w:hAnsi="宋体" w:eastAsia="宋体" w:cs="宋体"/>
          <w:szCs w:val="21"/>
        </w:rPr>
        <w:t>13.2 竣工验收</w:t>
      </w:r>
    </w:p>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bookmarkStart w:id="881" w:name="_Toc280868704"/>
      <w:bookmarkStart w:id="882" w:name="_Toc280868705"/>
      <w:bookmarkStart w:id="883" w:name="_Toc280868706"/>
      <w:bookmarkStart w:id="884" w:name="_Toc280868707"/>
      <w:bookmarkStart w:id="885" w:name="_Toc280868708"/>
      <w:bookmarkStart w:id="886" w:name="_Toc280868709"/>
      <w:r>
        <w:rPr>
          <w:rFonts w:hint="eastAsia" w:ascii="宋体" w:hAnsi="宋体" w:eastAsia="宋体" w:cs="宋体"/>
          <w:szCs w:val="21"/>
        </w:rPr>
        <w:t>13.2.2竣工验收程序</w:t>
      </w:r>
    </w:p>
    <w:bookmarkEnd w:id="881"/>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kern w:val="0"/>
          <w:szCs w:val="21"/>
        </w:rPr>
        <w:t>关于竣工验收程序的约定：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kern w:val="0"/>
          <w:szCs w:val="21"/>
        </w:rPr>
        <w:t>发包人不按照本项约定组织竣工验收、颁发工程接收证书的违约金的计算方法：</w:t>
      </w:r>
      <w:r>
        <w:rPr>
          <w:rFonts w:hint="eastAsia" w:ascii="宋体" w:hAnsi="宋体" w:eastAsia="宋体" w:cs="宋体"/>
          <w:szCs w:val="21"/>
          <w:u w:val="single"/>
        </w:rPr>
        <w:t xml:space="preserve">      </w:t>
      </w:r>
      <w:r>
        <w:rPr>
          <w:rFonts w:hint="eastAsia" w:ascii="宋体" w:hAnsi="宋体" w:eastAsia="宋体" w:cs="宋体"/>
          <w:szCs w:val="21"/>
        </w:rPr>
        <w:t>。</w:t>
      </w:r>
    </w:p>
    <w:bookmarkEnd w:id="882"/>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13.2.5移交、接收全部与部分工程</w:t>
      </w:r>
    </w:p>
    <w:bookmarkEnd w:id="883"/>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承包人向发包人移交工程的期限：</w:t>
      </w:r>
      <w:r>
        <w:rPr>
          <w:rFonts w:hint="eastAsia" w:ascii="宋体" w:hAnsi="宋体" w:eastAsia="宋体" w:cs="宋体"/>
          <w:szCs w:val="21"/>
          <w:u w:val="single"/>
        </w:rPr>
        <w:t xml:space="preserve">                                   </w:t>
      </w:r>
      <w:r>
        <w:rPr>
          <w:rFonts w:hint="eastAsia" w:ascii="宋体" w:hAnsi="宋体" w:eastAsia="宋体" w:cs="宋体"/>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kern w:val="0"/>
          <w:szCs w:val="21"/>
        </w:rPr>
        <w:t>发包人未按本合同约定接收全部或部分工程的，违约金的计算方法为：</w:t>
      </w:r>
      <w:r>
        <w:rPr>
          <w:rFonts w:hint="eastAsia" w:ascii="宋体" w:hAnsi="宋体" w:eastAsia="宋体" w:cs="宋体"/>
          <w:szCs w:val="21"/>
          <w:u w:val="single"/>
        </w:rPr>
        <w:t xml:space="preserve">            </w:t>
      </w:r>
      <w:r>
        <w:rPr>
          <w:rFonts w:hint="eastAsia" w:ascii="宋体" w:hAnsi="宋体" w:eastAsia="宋体" w:cs="宋体"/>
          <w:szCs w:val="21"/>
        </w:rPr>
        <w:t>。</w:t>
      </w:r>
    </w:p>
    <w:bookmarkEnd w:id="884"/>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承包人未按时移交工程的，违约金的计算方法为：</w:t>
      </w:r>
      <w:r>
        <w:rPr>
          <w:rFonts w:hint="eastAsia" w:ascii="宋体" w:hAnsi="宋体" w:eastAsia="宋体" w:cs="宋体"/>
          <w:szCs w:val="21"/>
          <w:u w:val="single"/>
        </w:rPr>
        <w:t xml:space="preserve">因承包人原因工程质量达不到约定的质量标准，承包人承担违约责任，工程质量达不到供应商所报工程质量目标按合同总价款的3%处罚，并返修至合格；承包人因自身原因不能按期竣工时，每延误竣工工期1天罚款500元  </w:t>
      </w:r>
      <w:r>
        <w:rPr>
          <w:rFonts w:hint="eastAsia" w:ascii="宋体" w:hAnsi="宋体" w:eastAsia="宋体" w:cs="宋体"/>
          <w:szCs w:val="21"/>
        </w:rPr>
        <w:t>。</w:t>
      </w:r>
    </w:p>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13.3 工程试车</w:t>
      </w:r>
    </w:p>
    <w:bookmarkEnd w:id="885"/>
    <w:p>
      <w:pPr>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13.3.1 试车程序</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工程试车内容：</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（1）单机无负荷试车费用由</w:t>
      </w:r>
      <w:r>
        <w:rPr>
          <w:rFonts w:hint="eastAsia" w:ascii="宋体" w:hAnsi="宋体" w:eastAsia="宋体" w:cs="宋体"/>
          <w:szCs w:val="21"/>
          <w:u w:val="single"/>
        </w:rPr>
        <w:t xml:space="preserve">                     </w:t>
      </w:r>
      <w:r>
        <w:rPr>
          <w:rFonts w:hint="eastAsia" w:ascii="宋体" w:hAnsi="宋体" w:eastAsia="宋体" w:cs="宋体"/>
          <w:kern w:val="0"/>
          <w:szCs w:val="21"/>
        </w:rPr>
        <w:t>承担；</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（2）无负荷联动试车费用由</w:t>
      </w:r>
      <w:r>
        <w:rPr>
          <w:rFonts w:hint="eastAsia" w:ascii="宋体" w:hAnsi="宋体" w:eastAsia="宋体" w:cs="宋体"/>
          <w:szCs w:val="21"/>
          <w:u w:val="single"/>
        </w:rPr>
        <w:t xml:space="preserve">                     </w:t>
      </w:r>
      <w:r>
        <w:rPr>
          <w:rFonts w:hint="eastAsia" w:ascii="宋体" w:hAnsi="宋体" w:eastAsia="宋体" w:cs="宋体"/>
          <w:kern w:val="0"/>
          <w:szCs w:val="21"/>
        </w:rPr>
        <w:t>承担。</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13.3.3 投料试车</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关于投料试车相关事项的约定：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13.6 竣工退场</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13.6.1 竣工退场</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承包人完成竣工退场的期限：</w:t>
      </w:r>
      <w:r>
        <w:rPr>
          <w:rFonts w:hint="eastAsia" w:ascii="宋体" w:hAnsi="宋体" w:eastAsia="宋体" w:cs="宋体"/>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887" w:name="_Toc351203646"/>
      <w:bookmarkStart w:id="888" w:name="_Toc391711949"/>
      <w:bookmarkStart w:id="889" w:name="_Toc391711804"/>
      <w:r>
        <w:rPr>
          <w:rFonts w:hint="eastAsia" w:ascii="宋体" w:hAnsi="宋体" w:eastAsia="宋体" w:cs="宋体"/>
          <w:b w:val="0"/>
          <w:sz w:val="21"/>
          <w:szCs w:val="21"/>
        </w:rPr>
        <w:t>14. 竣工结算</w:t>
      </w:r>
      <w:bookmarkEnd w:id="887"/>
      <w:bookmarkEnd w:id="888"/>
      <w:bookmarkEnd w:id="889"/>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14.1 竣工结算申请</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承包人提交竣工结算申请单的期限：</w:t>
      </w:r>
      <w:r>
        <w:rPr>
          <w:rFonts w:hint="eastAsia" w:ascii="宋体" w:hAnsi="宋体" w:eastAsia="宋体" w:cs="宋体"/>
          <w:bCs/>
          <w:szCs w:val="21"/>
          <w:u w:val="single"/>
        </w:rPr>
        <w:t>工程竣工验收报告经发包人认可后28日内</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竣工结算申请单应包括的内容：</w:t>
      </w:r>
      <w:r>
        <w:rPr>
          <w:rFonts w:hint="eastAsia" w:ascii="宋体" w:hAnsi="宋体" w:eastAsia="宋体" w:cs="宋体"/>
          <w:szCs w:val="21"/>
          <w:u w:val="single"/>
        </w:rPr>
        <w:t xml:space="preserve"> </w:t>
      </w:r>
      <w:r>
        <w:rPr>
          <w:rFonts w:hint="eastAsia" w:ascii="宋体" w:hAnsi="宋体" w:eastAsia="宋体" w:cs="宋体"/>
          <w:bCs/>
          <w:szCs w:val="21"/>
          <w:u w:val="single"/>
        </w:rPr>
        <w:t>竣工结算报告及完整的结算资料</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14.2 竣工结算审核</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发包人审批竣工付款申请单的期限：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发包人完成竣工付款的期限：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关于竣工付款证书异议部分复核的方式和程序：</w:t>
      </w:r>
      <w:r>
        <w:rPr>
          <w:rFonts w:hint="eastAsia" w:ascii="宋体" w:hAnsi="宋体" w:eastAsia="宋体" w:cs="宋体"/>
          <w:bCs/>
          <w:szCs w:val="21"/>
          <w:u w:val="single"/>
        </w:rPr>
        <w:t>以林州市政府审计或评审部门核对认可的结果为准</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14.4 最终结清</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14.4.1 最终结清申请单</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承包人提交最终结清申请单的份数：</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kern w:val="0"/>
          <w:szCs w:val="21"/>
        </w:rPr>
        <w:t>承包人提交最终结算申请单的期限：</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14.4.2 最终结清证书和支付</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（1）发包人完成最终结清申请单的审批并颁发最终结清证书的期限：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（2）发包人完成支付的期限：</w:t>
      </w:r>
      <w:r>
        <w:rPr>
          <w:rFonts w:hint="eastAsia" w:ascii="宋体" w:hAnsi="宋体" w:eastAsia="宋体" w:cs="宋体"/>
          <w:szCs w:val="21"/>
          <w:u w:val="single"/>
        </w:rPr>
        <w:t xml:space="preserve">                                   </w:t>
      </w:r>
      <w:r>
        <w:rPr>
          <w:rFonts w:hint="eastAsia" w:ascii="宋体" w:hAnsi="宋体" w:eastAsia="宋体" w:cs="宋体"/>
          <w:szCs w:val="21"/>
        </w:rPr>
        <w:t>。</w:t>
      </w:r>
    </w:p>
    <w:bookmarkEnd w:id="874"/>
    <w:bookmarkEnd w:id="875"/>
    <w:bookmarkEnd w:id="876"/>
    <w:bookmarkEnd w:id="877"/>
    <w:bookmarkEnd w:id="878"/>
    <w:bookmarkEnd w:id="879"/>
    <w:bookmarkEnd w:id="880"/>
    <w:bookmarkEnd w:id="886"/>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890" w:name="_Toc391711950"/>
      <w:bookmarkStart w:id="891" w:name="_Toc351203647"/>
      <w:bookmarkStart w:id="892" w:name="_Toc391711805"/>
      <w:bookmarkStart w:id="893" w:name="_Toc267251483"/>
      <w:bookmarkStart w:id="894" w:name="_Toc267251484"/>
      <w:bookmarkStart w:id="895" w:name="_Toc267251482"/>
      <w:bookmarkStart w:id="896" w:name="_Toc267251485"/>
      <w:bookmarkStart w:id="897" w:name="_Toc267251486"/>
      <w:bookmarkStart w:id="898" w:name="_Toc267251490"/>
      <w:bookmarkStart w:id="899" w:name="_Toc267251489"/>
      <w:bookmarkStart w:id="900" w:name="_Toc267251488"/>
      <w:bookmarkStart w:id="901" w:name="_Toc267251501"/>
      <w:bookmarkStart w:id="902" w:name="_Toc267251495"/>
      <w:bookmarkStart w:id="903" w:name="_Toc267251496"/>
      <w:bookmarkStart w:id="904" w:name="_Toc267251491"/>
      <w:bookmarkStart w:id="905" w:name="_Toc267251494"/>
      <w:bookmarkStart w:id="906" w:name="_Toc267251497"/>
      <w:bookmarkStart w:id="907" w:name="_Toc267251499"/>
      <w:bookmarkStart w:id="908" w:name="_Toc267251498"/>
      <w:bookmarkStart w:id="909" w:name="_Toc267251503"/>
      <w:bookmarkStart w:id="910" w:name="_Toc267251492"/>
      <w:bookmarkStart w:id="911" w:name="_Toc267251502"/>
      <w:bookmarkStart w:id="912" w:name="_Toc267251493"/>
      <w:bookmarkStart w:id="913" w:name="_Toc267251506"/>
      <w:bookmarkStart w:id="914" w:name="_Toc267251504"/>
      <w:bookmarkStart w:id="915" w:name="_Toc267251507"/>
      <w:bookmarkStart w:id="916" w:name="_Toc267251508"/>
      <w:bookmarkStart w:id="917" w:name="_Toc267251510"/>
      <w:bookmarkStart w:id="918" w:name="_Toc267251509"/>
      <w:bookmarkStart w:id="919" w:name="_Toc267251514"/>
      <w:bookmarkStart w:id="920" w:name="_Toc267251515"/>
      <w:bookmarkStart w:id="921" w:name="_Toc267251511"/>
      <w:bookmarkStart w:id="922" w:name="_Toc267251513"/>
      <w:r>
        <w:rPr>
          <w:rFonts w:hint="eastAsia" w:ascii="宋体" w:hAnsi="宋体" w:eastAsia="宋体" w:cs="宋体"/>
          <w:b w:val="0"/>
          <w:sz w:val="21"/>
          <w:szCs w:val="21"/>
        </w:rPr>
        <w:t>15. 缺陷责任期与保修</w:t>
      </w:r>
      <w:bookmarkEnd w:id="890"/>
      <w:bookmarkEnd w:id="891"/>
      <w:bookmarkEnd w:id="892"/>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15.2缺陷责任期</w:t>
      </w:r>
      <w:bookmarkEnd w:id="893"/>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缺陷责任期的具体期限：</w:t>
      </w:r>
      <w:r>
        <w:rPr>
          <w:rFonts w:hint="eastAsia" w:ascii="宋体" w:hAnsi="宋体" w:eastAsia="宋体" w:cs="宋体"/>
          <w:szCs w:val="21"/>
          <w:u w:val="single"/>
        </w:rPr>
        <w:t xml:space="preserve">   按国家规定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15.3 质量保证金</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关于是否扣留质量保证金的约定：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15.3.1 承包人提供质量保证金的方式</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质量保证金采用以下第</w:t>
      </w:r>
      <w:r>
        <w:rPr>
          <w:rFonts w:hint="eastAsia" w:ascii="宋体" w:hAnsi="宋体" w:eastAsia="宋体" w:cs="宋体"/>
          <w:szCs w:val="21"/>
          <w:u w:val="single"/>
        </w:rPr>
        <w:t xml:space="preserve">     </w:t>
      </w:r>
      <w:r>
        <w:rPr>
          <w:rFonts w:hint="eastAsia" w:ascii="宋体" w:hAnsi="宋体" w:eastAsia="宋体" w:cs="宋体"/>
          <w:szCs w:val="21"/>
        </w:rPr>
        <w:t>种方式：</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（1）质量保证金保函，保证金额为：</w:t>
      </w:r>
      <w:r>
        <w:rPr>
          <w:rFonts w:hint="eastAsia" w:ascii="宋体" w:hAnsi="宋体" w:eastAsia="宋体" w:cs="宋体"/>
          <w:kern w:val="0"/>
          <w:szCs w:val="21"/>
          <w:u w:val="single"/>
        </w:rPr>
        <w:t xml:space="preserve">                                 </w:t>
      </w:r>
      <w:r>
        <w:rPr>
          <w:rFonts w:hint="eastAsia" w:ascii="宋体" w:hAnsi="宋体" w:eastAsia="宋体" w:cs="宋体"/>
          <w:kern w:val="0"/>
          <w:szCs w:val="21"/>
        </w:rPr>
        <w:t xml:space="preserve">； </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（2）</w:t>
      </w:r>
      <w:r>
        <w:rPr>
          <w:rFonts w:hint="eastAsia" w:ascii="宋体" w:hAnsi="宋体" w:eastAsia="宋体" w:cs="宋体"/>
          <w:kern w:val="0"/>
          <w:szCs w:val="21"/>
          <w:u w:val="single"/>
        </w:rPr>
        <w:t xml:space="preserve">      </w:t>
      </w:r>
      <w:r>
        <w:rPr>
          <w:rFonts w:hint="eastAsia" w:ascii="宋体" w:hAnsi="宋体" w:eastAsia="宋体" w:cs="宋体"/>
          <w:kern w:val="0"/>
          <w:szCs w:val="21"/>
        </w:rPr>
        <w:t>%的工程款；</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（3）其他方式:</w:t>
      </w:r>
      <w:r>
        <w:rPr>
          <w:rFonts w:hint="eastAsia" w:ascii="宋体" w:hAnsi="宋体" w:eastAsia="宋体" w:cs="宋体"/>
          <w:kern w:val="0"/>
          <w:szCs w:val="21"/>
          <w:u w:val="single"/>
        </w:rPr>
        <w:t xml:space="preserve">   见招标文件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 xml:space="preserve">15.3.2 质量保证金的扣留 </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质量保证金的扣留采取以下第</w:t>
      </w:r>
      <w:r>
        <w:rPr>
          <w:rFonts w:hint="eastAsia" w:ascii="宋体" w:hAnsi="宋体" w:eastAsia="宋体" w:cs="宋体"/>
          <w:szCs w:val="21"/>
          <w:u w:val="single"/>
        </w:rPr>
        <w:t xml:space="preserve">     </w:t>
      </w:r>
      <w:r>
        <w:rPr>
          <w:rFonts w:hint="eastAsia" w:ascii="宋体" w:hAnsi="宋体" w:eastAsia="宋体" w:cs="宋体"/>
          <w:szCs w:val="21"/>
        </w:rPr>
        <w:t>种方式：</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（1）在支付工程进度款时逐次扣留，在此情形下，质量保证金的计算基数不包括预付款的支付、扣回以及价格调整的金额；</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（2）工程竣工结算时一次性扣留质量保证金；</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（3）其他扣留方式:</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u w:val="single"/>
        </w:rPr>
      </w:pPr>
      <w:r>
        <w:rPr>
          <w:rFonts w:hint="eastAsia" w:ascii="宋体" w:hAnsi="宋体" w:eastAsia="宋体" w:cs="宋体"/>
          <w:szCs w:val="21"/>
        </w:rPr>
        <w:t>关于质量保证金的补充约定：</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bookmarkEnd w:id="894"/>
    <w:bookmarkEnd w:id="895"/>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15.4保修</w:t>
      </w:r>
    </w:p>
    <w:bookmarkEnd w:id="896"/>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15.4.1 保修责任</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u w:val="single"/>
        </w:rPr>
      </w:pPr>
      <w:r>
        <w:rPr>
          <w:rFonts w:hint="eastAsia" w:ascii="宋体" w:hAnsi="宋体" w:eastAsia="宋体" w:cs="宋体"/>
          <w:szCs w:val="21"/>
        </w:rPr>
        <w:t>工程保修期为：</w:t>
      </w:r>
      <w:r>
        <w:rPr>
          <w:rFonts w:hint="eastAsia" w:ascii="宋体" w:hAnsi="宋体" w:eastAsia="宋体" w:cs="宋体"/>
          <w:kern w:val="0"/>
          <w:szCs w:val="21"/>
          <w:u w:val="single"/>
        </w:rPr>
        <w:t xml:space="preserve">  </w:t>
      </w:r>
      <w:r>
        <w:rPr>
          <w:rFonts w:hint="eastAsia" w:ascii="宋体" w:hAnsi="宋体" w:eastAsia="宋体" w:cs="宋体"/>
          <w:szCs w:val="21"/>
          <w:u w:val="single"/>
        </w:rPr>
        <w:t>按国家规定</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15.4.3 修复通知</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u w:val="single"/>
        </w:rPr>
      </w:pPr>
      <w:r>
        <w:rPr>
          <w:rFonts w:hint="eastAsia" w:ascii="宋体" w:hAnsi="宋体" w:eastAsia="宋体" w:cs="宋体"/>
          <w:kern w:val="0"/>
          <w:szCs w:val="21"/>
        </w:rPr>
        <w:t>承包人收到保修通知并到达工程现场的合理时间：</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bookmarkEnd w:id="897"/>
    <w:bookmarkEnd w:id="898"/>
    <w:bookmarkEnd w:id="899"/>
    <w:bookmarkEnd w:id="900"/>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923" w:name="_Toc391711806"/>
      <w:bookmarkStart w:id="924" w:name="_Toc391711951"/>
      <w:bookmarkStart w:id="925" w:name="_Toc351203648"/>
      <w:bookmarkStart w:id="926" w:name="_Toc280868717"/>
      <w:bookmarkStart w:id="927" w:name="_Toc280868718"/>
      <w:r>
        <w:rPr>
          <w:rFonts w:hint="eastAsia" w:ascii="宋体" w:hAnsi="宋体" w:eastAsia="宋体" w:cs="宋体"/>
          <w:b w:val="0"/>
          <w:sz w:val="21"/>
          <w:szCs w:val="21"/>
        </w:rPr>
        <w:t>16. 违约</w:t>
      </w:r>
      <w:bookmarkEnd w:id="923"/>
      <w:bookmarkEnd w:id="924"/>
      <w:bookmarkEnd w:id="925"/>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16.1 发包人违约</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16.1.1发包人违约的情形</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发包人违约的其他情形：</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 xml:space="preserve">    16.1.2 发包人违约的责任</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发包人违约责任的承担方式和计算方法：</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u w:val="single"/>
        </w:rPr>
      </w:pPr>
      <w:r>
        <w:rPr>
          <w:rFonts w:hint="eastAsia" w:ascii="宋体" w:hAnsi="宋体" w:eastAsia="宋体" w:cs="宋体"/>
          <w:kern w:val="0"/>
          <w:szCs w:val="21"/>
        </w:rPr>
        <w:t>（1）因发包人原因未能在计划开工日期前7天内下达开工通知的违约责任：</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（2）因发包人原因未能按合同约定支付合同价款的违约责任：</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（3）发包人违反第10.1款〔变更的范围〕第（2）项约定，自行实施被取消的工作或转由他人实施的违约责任：</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（4）发包人提供的材料、工程设备的规格、数量或质量不符合合同约定，或因发包人原因导致交货日期延误或交货地点变更等情况的违约责任：</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（5）因发包人违反合同约定造成暂停施工的违约责任：</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（6）发包人无正当理由没有在约定期限内发出复工指示，导致承包人无法复工的违约责任：</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（7）其他：</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16.1.3 因发包人违约解除合同</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承包人按16.1.1项〔发包人违约的情形〕约定暂停施工满</w:t>
      </w:r>
      <w:r>
        <w:rPr>
          <w:rFonts w:hint="eastAsia" w:ascii="宋体" w:hAnsi="宋体" w:eastAsia="宋体" w:cs="宋体"/>
          <w:kern w:val="0"/>
          <w:szCs w:val="21"/>
          <w:u w:val="single"/>
        </w:rPr>
        <w:t xml:space="preserve">    </w:t>
      </w:r>
      <w:r>
        <w:rPr>
          <w:rFonts w:hint="eastAsia" w:ascii="宋体" w:hAnsi="宋体" w:eastAsia="宋体" w:cs="宋体"/>
          <w:kern w:val="0"/>
          <w:szCs w:val="21"/>
        </w:rPr>
        <w:t>天后发包人仍不纠正其违约行为并致使合同目的不能实现的，承包人有权解除合同。</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16.2 承包人违约</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16.2.1 承包人违约的情形</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承包人违约的其他情形：</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u w:val="single"/>
        </w:rPr>
      </w:pPr>
      <w:r>
        <w:rPr>
          <w:rFonts w:hint="eastAsia" w:ascii="宋体" w:hAnsi="宋体" w:eastAsia="宋体" w:cs="宋体"/>
          <w:kern w:val="0"/>
          <w:szCs w:val="21"/>
        </w:rPr>
        <w:t>承包人违约责任的承担方式和计算方法：</w:t>
      </w:r>
      <w:r>
        <w:rPr>
          <w:rFonts w:hint="eastAsia" w:ascii="宋体" w:hAnsi="宋体" w:eastAsia="宋体" w:cs="宋体"/>
          <w:kern w:val="0"/>
          <w:szCs w:val="21"/>
          <w:u w:val="single"/>
        </w:rPr>
        <w:t xml:space="preserve"> 承包人因自身原因不能按期竣工时，每延误竣工工期1天罚款500元；因承包人原因工程质量达不到约定的质量标准，承包人承担违约责任，工程质量达不到供应商所报工程质量目标的按合同总价款的3%处罚，并返修至合格  </w:t>
      </w:r>
      <w:r>
        <w:rPr>
          <w:rFonts w:hint="eastAsia" w:ascii="宋体" w:hAnsi="宋体" w:eastAsia="宋体" w:cs="宋体"/>
          <w:kern w:val="0"/>
          <w:szCs w:val="21"/>
        </w:rPr>
        <w:t>。</w:t>
      </w:r>
      <w:r>
        <w:rPr>
          <w:rFonts w:hint="eastAsia" w:ascii="宋体" w:hAnsi="宋体" w:eastAsia="宋体" w:cs="宋体"/>
          <w:szCs w:val="21"/>
        </w:rPr>
        <w:t xml:space="preserve">    </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16.2.3 因承包人违约解除合同</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关于承包人违约解除合同的特别约定：</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发包人继续使用承包人在施工现场的材料、设备、临时工程、承包人文件和由承包人或以其名义编制的其他文件的费用承担方式：</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928" w:name="_Toc391711952"/>
      <w:bookmarkStart w:id="929" w:name="_Toc391711807"/>
      <w:bookmarkStart w:id="930" w:name="_Toc351203649"/>
      <w:r>
        <w:rPr>
          <w:rFonts w:hint="eastAsia" w:ascii="宋体" w:hAnsi="宋体" w:eastAsia="宋体" w:cs="宋体"/>
          <w:b w:val="0"/>
          <w:sz w:val="21"/>
          <w:szCs w:val="21"/>
        </w:rPr>
        <w:t>17. 不可抗力</w:t>
      </w:r>
      <w:bookmarkEnd w:id="928"/>
      <w:bookmarkEnd w:id="929"/>
      <w:bookmarkEnd w:id="930"/>
      <w:r>
        <w:rPr>
          <w:rFonts w:hint="eastAsia" w:ascii="宋体" w:hAnsi="宋体" w:eastAsia="宋体" w:cs="宋体"/>
          <w:b w:val="0"/>
          <w:sz w:val="21"/>
          <w:szCs w:val="21"/>
        </w:rPr>
        <w:t xml:space="preserve"> </w:t>
      </w:r>
      <w:bookmarkEnd w:id="926"/>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17.1 不可抗力的确认</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u w:val="single"/>
        </w:rPr>
      </w:pPr>
      <w:r>
        <w:rPr>
          <w:rFonts w:hint="eastAsia" w:ascii="宋体" w:hAnsi="宋体" w:eastAsia="宋体" w:cs="宋体"/>
          <w:szCs w:val="21"/>
        </w:rPr>
        <w:t xml:space="preserve">除通用合同条款约定的不可抗力事件之外，视为不可抗力的其他情形： </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17.4 因不可抗力解除合同</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合同解除后，发包人应在商定或确定发包人应支付款项后</w:t>
      </w:r>
      <w:r>
        <w:rPr>
          <w:rFonts w:hint="eastAsia" w:ascii="宋体" w:hAnsi="宋体" w:eastAsia="宋体" w:cs="宋体"/>
          <w:szCs w:val="21"/>
          <w:u w:val="single"/>
        </w:rPr>
        <w:t xml:space="preserve">            </w:t>
      </w:r>
      <w:r>
        <w:rPr>
          <w:rFonts w:hint="eastAsia" w:ascii="宋体" w:hAnsi="宋体" w:eastAsia="宋体" w:cs="宋体"/>
          <w:szCs w:val="21"/>
        </w:rPr>
        <w:t>天内完成款项的支付。</w:t>
      </w:r>
    </w:p>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931" w:name="_Toc391711808"/>
      <w:bookmarkStart w:id="932" w:name="_Toc391711953"/>
      <w:bookmarkStart w:id="933" w:name="_Toc351203650"/>
      <w:r>
        <w:rPr>
          <w:rFonts w:hint="eastAsia" w:ascii="宋体" w:hAnsi="宋体" w:eastAsia="宋体" w:cs="宋体"/>
          <w:b w:val="0"/>
          <w:sz w:val="21"/>
          <w:szCs w:val="21"/>
        </w:rPr>
        <w:t>18. 保险</w:t>
      </w:r>
      <w:bookmarkEnd w:id="931"/>
      <w:bookmarkEnd w:id="932"/>
      <w:bookmarkEnd w:id="933"/>
    </w:p>
    <w:bookmarkEnd w:id="927"/>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18.1 工程保险</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关于工程保险的特别约定：</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18.3 其他保险</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szCs w:val="21"/>
        </w:rPr>
        <w:t>关于其他保险的约定：</w:t>
      </w:r>
      <w:r>
        <w:rPr>
          <w:rFonts w:hint="eastAsia" w:ascii="宋体" w:hAnsi="宋体" w:eastAsia="宋体" w:cs="宋体"/>
          <w:kern w:val="0"/>
          <w:szCs w:val="21"/>
          <w:u w:val="single"/>
        </w:rPr>
        <w:t xml:space="preserve">                                   </w:t>
      </w:r>
      <w:r>
        <w:rPr>
          <w:rFonts w:hint="eastAsia" w:ascii="宋体" w:hAnsi="宋体" w:eastAsia="宋体" w:cs="宋体"/>
          <w:kern w:val="0"/>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szCs w:val="21"/>
        </w:rPr>
        <w:t>承包人是否应为其施工设备等办理财产保险：</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18.7 通知义务</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kern w:val="0"/>
          <w:szCs w:val="21"/>
        </w:rPr>
        <w:t>关于变更保险合同时的通知义务的约定：</w:t>
      </w:r>
      <w:r>
        <w:rPr>
          <w:rFonts w:hint="eastAsia" w:ascii="宋体" w:hAnsi="宋体" w:eastAsia="宋体" w:cs="宋体"/>
          <w:szCs w:val="21"/>
          <w:u w:val="single"/>
        </w:rPr>
        <w:t xml:space="preserve">                              </w:t>
      </w:r>
      <w:r>
        <w:rPr>
          <w:rFonts w:hint="eastAsia" w:ascii="宋体" w:hAnsi="宋体" w:eastAsia="宋体" w:cs="宋体"/>
          <w:szCs w:val="21"/>
        </w:rPr>
        <w:t>。</w:t>
      </w:r>
    </w:p>
    <w:bookmarkEnd w:id="901"/>
    <w:bookmarkEnd w:id="902"/>
    <w:bookmarkEnd w:id="903"/>
    <w:bookmarkEnd w:id="904"/>
    <w:bookmarkEnd w:id="905"/>
    <w:bookmarkEnd w:id="906"/>
    <w:bookmarkEnd w:id="907"/>
    <w:bookmarkEnd w:id="908"/>
    <w:bookmarkEnd w:id="909"/>
    <w:bookmarkEnd w:id="910"/>
    <w:bookmarkEnd w:id="911"/>
    <w:bookmarkEnd w:id="912"/>
    <w:p>
      <w:pPr>
        <w:pageBreakBefore w:val="0"/>
        <w:widowControl w:val="0"/>
        <w:kinsoku/>
        <w:wordWrap/>
        <w:overflowPunct/>
        <w:topLinePunct w:val="0"/>
        <w:bidi w:val="0"/>
        <w:snapToGrid/>
        <w:spacing w:before="0" w:after="0" w:line="240" w:lineRule="auto"/>
        <w:ind w:firstLine="420" w:firstLineChars="200"/>
        <w:textAlignment w:val="auto"/>
        <w:outlineLvl w:val="9"/>
        <w:rPr>
          <w:rFonts w:hint="eastAsia" w:ascii="宋体" w:hAnsi="宋体" w:eastAsia="宋体" w:cs="宋体"/>
          <w:b w:val="0"/>
          <w:sz w:val="21"/>
          <w:szCs w:val="21"/>
        </w:rPr>
      </w:pPr>
      <w:bookmarkStart w:id="934" w:name="_Toc391711954"/>
      <w:bookmarkStart w:id="935" w:name="_Toc391711809"/>
      <w:bookmarkStart w:id="936" w:name="_Toc351203651"/>
      <w:r>
        <w:rPr>
          <w:rFonts w:hint="eastAsia" w:ascii="宋体" w:hAnsi="宋体" w:eastAsia="宋体" w:cs="宋体"/>
          <w:b w:val="0"/>
          <w:sz w:val="21"/>
          <w:szCs w:val="21"/>
        </w:rPr>
        <w:t>20. 争议解决</w:t>
      </w:r>
      <w:bookmarkEnd w:id="934"/>
      <w:bookmarkEnd w:id="935"/>
      <w:bookmarkEnd w:id="936"/>
    </w:p>
    <w:bookmarkEnd w:id="913"/>
    <w:bookmarkEnd w:id="914"/>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20.3 争</w:t>
      </w:r>
      <w:bookmarkEnd w:id="915"/>
      <w:r>
        <w:rPr>
          <w:rFonts w:hint="eastAsia" w:ascii="宋体" w:hAnsi="宋体" w:eastAsia="宋体" w:cs="宋体"/>
          <w:szCs w:val="21"/>
        </w:rPr>
        <w:t>议评审</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合同当事人是否同意将工程争议提交争议评审小组决定：</w:t>
      </w:r>
      <w:r>
        <w:rPr>
          <w:rFonts w:hint="eastAsia" w:ascii="宋体" w:hAnsi="宋体" w:eastAsia="宋体" w:cs="宋体"/>
          <w:szCs w:val="21"/>
          <w:u w:val="single"/>
        </w:rPr>
        <w:t xml:space="preserve">                   </w:t>
      </w:r>
      <w:r>
        <w:rPr>
          <w:rFonts w:hint="eastAsia" w:ascii="宋体" w:hAnsi="宋体" w:eastAsia="宋体" w:cs="宋体"/>
          <w:szCs w:val="21"/>
        </w:rPr>
        <w:t xml:space="preserve">。  </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20.3.1 争议评审小组的确定</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u w:val="single"/>
        </w:rPr>
      </w:pPr>
      <w:r>
        <w:rPr>
          <w:rFonts w:hint="eastAsia" w:ascii="宋体" w:hAnsi="宋体" w:eastAsia="宋体" w:cs="宋体"/>
          <w:szCs w:val="21"/>
        </w:rPr>
        <w:t>争议评审小组成员的确定：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选定争议评审员的期限：</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争议评审小组成员的报酬承担方式：</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其他事项的约定：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autoSpaceDE w:val="0"/>
        <w:autoSpaceDN w:val="0"/>
        <w:bidi w:val="0"/>
        <w:adjustRightInd w:val="0"/>
        <w:snapToGrid/>
        <w:spacing w:line="240" w:lineRule="auto"/>
        <w:ind w:firstLine="420" w:firstLineChars="200"/>
        <w:textAlignment w:val="auto"/>
        <w:outlineLvl w:val="9"/>
        <w:rPr>
          <w:rFonts w:hint="eastAsia" w:ascii="宋体" w:hAnsi="宋体" w:eastAsia="宋体" w:cs="宋体"/>
          <w:kern w:val="0"/>
          <w:szCs w:val="21"/>
        </w:rPr>
      </w:pPr>
      <w:r>
        <w:rPr>
          <w:rFonts w:hint="eastAsia" w:ascii="宋体" w:hAnsi="宋体" w:eastAsia="宋体" w:cs="宋体"/>
          <w:kern w:val="0"/>
          <w:szCs w:val="21"/>
        </w:rPr>
        <w:t>20.3.2 争议评审小组的决定</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合同当事人关于本项的约定：</w:t>
      </w:r>
      <w:r>
        <w:rPr>
          <w:rFonts w:hint="eastAsia" w:ascii="宋体" w:hAnsi="宋体" w:eastAsia="宋体" w:cs="宋体"/>
          <w:szCs w:val="21"/>
          <w:u w:val="single"/>
        </w:rPr>
        <w:t xml:space="preserve">                                </w:t>
      </w:r>
      <w:r>
        <w:rPr>
          <w:rFonts w:hint="eastAsia" w:ascii="宋体" w:hAnsi="宋体" w:eastAsia="宋体" w:cs="宋体"/>
          <w:szCs w:val="21"/>
        </w:rPr>
        <w:t>。</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20.4仲裁或诉讼</w:t>
      </w:r>
      <w:bookmarkEnd w:id="916"/>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因合同及合同有关事项发生的争议，按下列第</w:t>
      </w:r>
      <w:r>
        <w:rPr>
          <w:rFonts w:hint="eastAsia" w:ascii="宋体" w:hAnsi="宋体" w:eastAsia="宋体" w:cs="宋体"/>
          <w:szCs w:val="21"/>
          <w:u w:val="single"/>
        </w:rPr>
        <w:t xml:space="preserve">  2 </w:t>
      </w:r>
      <w:r>
        <w:rPr>
          <w:rFonts w:hint="eastAsia" w:ascii="宋体" w:hAnsi="宋体" w:eastAsia="宋体" w:cs="宋体"/>
          <w:szCs w:val="21"/>
        </w:rPr>
        <w:t>种方式解决：</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（1）向</w:t>
      </w:r>
      <w:r>
        <w:rPr>
          <w:rFonts w:hint="eastAsia" w:ascii="宋体" w:hAnsi="宋体" w:eastAsia="宋体" w:cs="宋体"/>
          <w:szCs w:val="21"/>
          <w:u w:val="single"/>
        </w:rPr>
        <w:t xml:space="preserve">    /   </w:t>
      </w:r>
      <w:r>
        <w:rPr>
          <w:rFonts w:hint="eastAsia" w:ascii="宋体" w:hAnsi="宋体" w:eastAsia="宋体" w:cs="宋体"/>
          <w:szCs w:val="21"/>
        </w:rPr>
        <w:t>仲裁委员会申请仲裁；</w:t>
      </w:r>
    </w:p>
    <w:p>
      <w:pPr>
        <w:pageBreakBefore w:val="0"/>
        <w:widowControl w:val="0"/>
        <w:kinsoku/>
        <w:wordWrap/>
        <w:overflowPunct/>
        <w:topLinePunct w:val="0"/>
        <w:bidi w:val="0"/>
        <w:snapToGrid/>
        <w:spacing w:line="240" w:lineRule="auto"/>
        <w:ind w:firstLine="420" w:firstLineChars="200"/>
        <w:textAlignment w:val="auto"/>
        <w:outlineLvl w:val="9"/>
        <w:rPr>
          <w:rFonts w:hint="eastAsia" w:ascii="宋体" w:hAnsi="宋体" w:eastAsia="宋体" w:cs="宋体"/>
          <w:szCs w:val="21"/>
        </w:rPr>
      </w:pPr>
      <w:r>
        <w:rPr>
          <w:rFonts w:hint="eastAsia" w:ascii="宋体" w:hAnsi="宋体" w:eastAsia="宋体" w:cs="宋体"/>
          <w:szCs w:val="21"/>
        </w:rPr>
        <w:t xml:space="preserve">（2）向 </w:t>
      </w:r>
      <w:r>
        <w:rPr>
          <w:rFonts w:hint="eastAsia" w:ascii="宋体" w:hAnsi="宋体" w:eastAsia="宋体" w:cs="宋体"/>
          <w:szCs w:val="21"/>
          <w:u w:val="single"/>
        </w:rPr>
        <w:t xml:space="preserve">   林州市      </w:t>
      </w:r>
      <w:r>
        <w:rPr>
          <w:rFonts w:hint="eastAsia" w:ascii="宋体" w:hAnsi="宋体" w:eastAsia="宋体" w:cs="宋体"/>
          <w:szCs w:val="21"/>
        </w:rPr>
        <w:t>人民法院起诉</w:t>
      </w:r>
      <w:bookmarkEnd w:id="917"/>
      <w:bookmarkEnd w:id="918"/>
      <w:bookmarkEnd w:id="919"/>
      <w:bookmarkEnd w:id="920"/>
      <w:bookmarkEnd w:id="921"/>
      <w:bookmarkEnd w:id="922"/>
      <w:r>
        <w:rPr>
          <w:rFonts w:hint="eastAsia" w:ascii="宋体" w:hAnsi="宋体" w:eastAsia="宋体" w:cs="宋体"/>
          <w:szCs w:val="21"/>
        </w:rPr>
        <w:t>。</w:t>
      </w:r>
    </w:p>
    <w:p>
      <w:pPr>
        <w:keepNext w:val="0"/>
        <w:keepLines w:val="0"/>
        <w:pageBreakBefore/>
        <w:widowControl/>
        <w:kinsoku/>
        <w:wordWrap/>
        <w:overflowPunct/>
        <w:topLinePunct w:val="0"/>
        <w:autoSpaceDE/>
        <w:autoSpaceDN/>
        <w:bidi w:val="0"/>
        <w:adjustRightInd/>
        <w:snapToGrid/>
        <w:spacing w:after="10"/>
        <w:jc w:val="center"/>
        <w:textAlignment w:val="auto"/>
        <w:outlineLvl w:val="0"/>
        <w:rPr>
          <w:rFonts w:hint="eastAsia" w:ascii="宋体" w:hAnsi="宋体" w:eastAsia="宋体" w:cs="宋体"/>
          <w:b/>
          <w:bCs/>
          <w:sz w:val="44"/>
          <w:szCs w:val="44"/>
        </w:rPr>
      </w:pPr>
      <w:bookmarkStart w:id="937" w:name="_Toc13166"/>
      <w:bookmarkStart w:id="938" w:name="_Toc24485"/>
      <w:bookmarkStart w:id="939" w:name="_Toc30060"/>
      <w:r>
        <w:rPr>
          <w:rFonts w:hint="eastAsia" w:ascii="宋体" w:hAnsi="宋体" w:eastAsia="宋体" w:cs="宋体"/>
          <w:b/>
          <w:bCs/>
          <w:sz w:val="44"/>
          <w:szCs w:val="44"/>
        </w:rPr>
        <w:t>第五章 磋商办法</w:t>
      </w:r>
      <w:bookmarkEnd w:id="937"/>
      <w:bookmarkEnd w:id="938"/>
      <w:bookmarkEnd w:id="939"/>
    </w:p>
    <w:p>
      <w:pPr>
        <w:keepNext w:val="0"/>
        <w:keepLines w:val="0"/>
        <w:pageBreakBefore w:val="0"/>
        <w:widowControl w:val="0"/>
        <w:kinsoku/>
        <w:wordWrap/>
        <w:overflowPunct/>
        <w:topLinePunct w:val="0"/>
        <w:autoSpaceDE/>
        <w:autoSpaceDN/>
        <w:bidi w:val="0"/>
        <w:adjustRightInd/>
        <w:snapToGrid/>
        <w:spacing w:after="0" w:line="360" w:lineRule="auto"/>
        <w:jc w:val="center"/>
        <w:textAlignment w:val="auto"/>
        <w:rPr>
          <w:rFonts w:hint="eastAsia" w:ascii="宋体" w:hAnsi="宋体" w:eastAsia="宋体" w:cs="宋体"/>
          <w:b/>
          <w:bCs/>
          <w:sz w:val="24"/>
          <w:szCs w:val="24"/>
        </w:rPr>
      </w:pPr>
      <w:r>
        <w:rPr>
          <w:rFonts w:hint="eastAsia" w:ascii="宋体" w:hAnsi="宋体" w:eastAsia="宋体" w:cs="宋体"/>
          <w:b/>
          <w:bCs/>
          <w:sz w:val="24"/>
          <w:szCs w:val="24"/>
        </w:rPr>
        <w:t>评标办法前附表</w:t>
      </w:r>
    </w:p>
    <w:tbl>
      <w:tblPr>
        <w:tblStyle w:val="36"/>
        <w:tblW w:w="5066" w:type="pct"/>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7"/>
        <w:gridCol w:w="1365"/>
        <w:gridCol w:w="1753"/>
        <w:gridCol w:w="5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162" w:type="pct"/>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1"/>
              <w:rPr>
                <w:rFonts w:hint="eastAsia" w:ascii="宋体" w:hAnsi="宋体" w:eastAsia="宋体" w:cs="宋体"/>
                <w:b/>
                <w:bCs/>
                <w:color w:val="000000"/>
                <w:sz w:val="24"/>
                <w:szCs w:val="24"/>
              </w:rPr>
            </w:pPr>
            <w:bookmarkStart w:id="940" w:name="_Toc458878045"/>
            <w:bookmarkStart w:id="941" w:name="_Toc390723341"/>
            <w:bookmarkStart w:id="942" w:name="_Toc447619199"/>
            <w:bookmarkStart w:id="943" w:name="_Toc465160115"/>
            <w:bookmarkStart w:id="944" w:name="_Toc372804019"/>
            <w:r>
              <w:rPr>
                <w:rFonts w:hint="eastAsia" w:ascii="宋体" w:hAnsi="宋体" w:eastAsia="宋体" w:cs="宋体"/>
                <w:b/>
                <w:bCs/>
                <w:color w:val="000000"/>
                <w:sz w:val="24"/>
                <w:szCs w:val="24"/>
              </w:rPr>
              <w:t>条款号</w:t>
            </w:r>
            <w:bookmarkEnd w:id="940"/>
            <w:bookmarkEnd w:id="941"/>
            <w:bookmarkEnd w:id="942"/>
            <w:bookmarkEnd w:id="943"/>
            <w:bookmarkEnd w:id="944"/>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1"/>
              <w:rPr>
                <w:rFonts w:hint="eastAsia" w:ascii="宋体" w:hAnsi="宋体" w:eastAsia="宋体" w:cs="宋体"/>
                <w:b/>
                <w:bCs/>
                <w:color w:val="000000"/>
                <w:sz w:val="24"/>
                <w:szCs w:val="24"/>
              </w:rPr>
            </w:pPr>
            <w:bookmarkStart w:id="945" w:name="_Toc372804020"/>
            <w:bookmarkStart w:id="946" w:name="_Toc390723342"/>
            <w:bookmarkStart w:id="947" w:name="_Toc465160116"/>
            <w:bookmarkStart w:id="948" w:name="_Toc458878046"/>
            <w:bookmarkStart w:id="949" w:name="_Toc447619200"/>
            <w:r>
              <w:rPr>
                <w:rFonts w:hint="eastAsia" w:ascii="宋体" w:hAnsi="宋体" w:eastAsia="宋体" w:cs="宋体"/>
                <w:b/>
                <w:bCs/>
                <w:color w:val="000000"/>
                <w:sz w:val="24"/>
                <w:szCs w:val="24"/>
              </w:rPr>
              <w:t>评审因素</w:t>
            </w:r>
            <w:bookmarkEnd w:id="945"/>
            <w:bookmarkEnd w:id="946"/>
            <w:bookmarkEnd w:id="947"/>
            <w:bookmarkEnd w:id="948"/>
            <w:bookmarkEnd w:id="949"/>
          </w:p>
        </w:tc>
        <w:tc>
          <w:tcPr>
            <w:tcW w:w="29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outlineLvl w:val="1"/>
              <w:rPr>
                <w:rFonts w:hint="eastAsia" w:ascii="宋体" w:hAnsi="宋体" w:eastAsia="宋体" w:cs="宋体"/>
                <w:b/>
                <w:bCs/>
                <w:color w:val="000000"/>
                <w:sz w:val="24"/>
                <w:szCs w:val="24"/>
              </w:rPr>
            </w:pPr>
            <w:bookmarkStart w:id="950" w:name="_Toc372804021"/>
            <w:bookmarkStart w:id="951" w:name="_Toc447619201"/>
            <w:bookmarkStart w:id="952" w:name="_Toc390723343"/>
            <w:bookmarkStart w:id="953" w:name="_Toc458878047"/>
            <w:bookmarkStart w:id="954" w:name="_Toc465160117"/>
            <w:r>
              <w:rPr>
                <w:rFonts w:hint="eastAsia" w:ascii="宋体" w:hAnsi="宋体" w:eastAsia="宋体" w:cs="宋体"/>
                <w:b/>
                <w:bCs/>
                <w:color w:val="000000"/>
                <w:sz w:val="24"/>
                <w:szCs w:val="24"/>
              </w:rPr>
              <w:t>评审标准</w:t>
            </w:r>
            <w:bookmarkEnd w:id="950"/>
            <w:bookmarkEnd w:id="951"/>
            <w:bookmarkEnd w:id="952"/>
            <w:bookmarkEnd w:id="953"/>
            <w:bookmarkEnd w:id="954"/>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4" w:type="pct"/>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2.1.1</w:t>
            </w:r>
          </w:p>
        </w:tc>
        <w:tc>
          <w:tcPr>
            <w:tcW w:w="707" w:type="pct"/>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36" w:leftChars="-120" w:right="-181" w:rightChars="-86" w:hanging="216" w:hangingChars="9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资格</w:t>
            </w:r>
          </w:p>
          <w:p>
            <w:pPr>
              <w:keepNext w:val="0"/>
              <w:keepLines w:val="0"/>
              <w:pageBreakBefore w:val="0"/>
              <w:widowControl w:val="0"/>
              <w:kinsoku/>
              <w:wordWrap/>
              <w:overflowPunct/>
              <w:topLinePunct w:val="0"/>
              <w:autoSpaceDE/>
              <w:autoSpaceDN/>
              <w:bidi w:val="0"/>
              <w:adjustRightInd/>
              <w:snapToGrid/>
              <w:spacing w:after="0" w:line="240" w:lineRule="auto"/>
              <w:ind w:left="-36" w:leftChars="-120" w:right="-181" w:rightChars="-86" w:hanging="216" w:hangingChars="9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评审</w:t>
            </w:r>
          </w:p>
          <w:p>
            <w:pPr>
              <w:keepNext w:val="0"/>
              <w:keepLines w:val="0"/>
              <w:pageBreakBefore w:val="0"/>
              <w:widowControl w:val="0"/>
              <w:kinsoku/>
              <w:wordWrap/>
              <w:overflowPunct/>
              <w:topLinePunct w:val="0"/>
              <w:autoSpaceDE/>
              <w:autoSpaceDN/>
              <w:bidi w:val="0"/>
              <w:adjustRightInd/>
              <w:snapToGrid/>
              <w:spacing w:after="0" w:line="240" w:lineRule="auto"/>
              <w:ind w:left="-36" w:leftChars="-120" w:right="-181" w:rightChars="-86" w:hanging="216" w:hangingChars="9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标准</w:t>
            </w: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营业执照</w:t>
            </w:r>
          </w:p>
        </w:tc>
        <w:tc>
          <w:tcPr>
            <w:tcW w:w="29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符合本项目资格要求的有效营业执照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资格要求</w:t>
            </w:r>
          </w:p>
        </w:tc>
        <w:tc>
          <w:tcPr>
            <w:tcW w:w="29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000000"/>
                <w:sz w:val="24"/>
                <w:szCs w:val="24"/>
              </w:rPr>
            </w:pPr>
            <w:r>
              <w:rPr>
                <w:rFonts w:hint="eastAsia" w:ascii="宋体" w:hAnsi="宋体" w:eastAsia="宋体" w:cs="宋体"/>
                <w:sz w:val="24"/>
                <w:szCs w:val="24"/>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其它要求</w:t>
            </w:r>
          </w:p>
        </w:tc>
        <w:tc>
          <w:tcPr>
            <w:tcW w:w="29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000000"/>
                <w:sz w:val="24"/>
                <w:szCs w:val="24"/>
              </w:rPr>
            </w:pPr>
            <w:r>
              <w:rPr>
                <w:rFonts w:hint="eastAsia" w:ascii="宋体" w:hAnsi="宋体" w:eastAsia="宋体" w:cs="宋体"/>
                <w:sz w:val="24"/>
                <w:szCs w:val="24"/>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4" w:type="pct"/>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2.1.2</w:t>
            </w:r>
          </w:p>
        </w:tc>
        <w:tc>
          <w:tcPr>
            <w:tcW w:w="707" w:type="pct"/>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符合性</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评审</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r>
              <w:rPr>
                <w:rFonts w:hint="eastAsia" w:ascii="宋体" w:hAnsi="宋体" w:eastAsia="宋体" w:cs="宋体"/>
                <w:sz w:val="24"/>
                <w:szCs w:val="24"/>
              </w:rPr>
              <w:t>标准</w:t>
            </w: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投标人名称</w:t>
            </w:r>
          </w:p>
        </w:tc>
        <w:tc>
          <w:tcPr>
            <w:tcW w:w="29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pacing w:val="-4"/>
                <w:sz w:val="24"/>
                <w:szCs w:val="24"/>
              </w:rPr>
            </w:pPr>
            <w:r>
              <w:rPr>
                <w:rFonts w:hint="eastAsia" w:ascii="宋体" w:hAnsi="宋体" w:eastAsia="宋体" w:cs="宋体"/>
                <w:sz w:val="24"/>
                <w:szCs w:val="24"/>
              </w:rPr>
              <w:t>与营业执照一致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4" w:type="pct"/>
            <w:vMerge w:val="continue"/>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000000"/>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r>
              <w:rPr>
                <w:rFonts w:hint="eastAsia" w:ascii="宋体" w:hAnsi="宋体" w:eastAsia="宋体" w:cs="宋体"/>
                <w:sz w:val="24"/>
                <w:szCs w:val="24"/>
              </w:rPr>
              <w:t>签字盖章</w:t>
            </w:r>
          </w:p>
        </w:tc>
        <w:tc>
          <w:tcPr>
            <w:tcW w:w="29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pacing w:val="-4"/>
                <w:sz w:val="24"/>
                <w:szCs w:val="24"/>
              </w:rPr>
            </w:pPr>
            <w:r>
              <w:rPr>
                <w:rFonts w:hint="eastAsia" w:ascii="宋体" w:hAnsi="宋体" w:eastAsia="宋体" w:cs="宋体"/>
                <w:sz w:val="24"/>
                <w:szCs w:val="24"/>
              </w:rPr>
              <w:t>符合第六章“响应文件格式”的签署要求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4" w:type="pct"/>
            <w:vMerge w:val="continue"/>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000000"/>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r>
              <w:rPr>
                <w:rFonts w:hint="eastAsia" w:ascii="宋体" w:hAnsi="宋体" w:eastAsia="宋体" w:cs="宋体"/>
                <w:sz w:val="24"/>
                <w:szCs w:val="24"/>
              </w:rPr>
              <w:t>响应文件格式</w:t>
            </w:r>
          </w:p>
        </w:tc>
        <w:tc>
          <w:tcPr>
            <w:tcW w:w="29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000000"/>
                <w:sz w:val="24"/>
                <w:szCs w:val="24"/>
              </w:rPr>
            </w:pPr>
            <w:r>
              <w:rPr>
                <w:rFonts w:hint="eastAsia" w:ascii="宋体" w:hAnsi="宋体" w:eastAsia="宋体" w:cs="宋体"/>
                <w:sz w:val="24"/>
                <w:szCs w:val="24"/>
              </w:rPr>
              <w:t>符合第六章“响应文件格式”的要求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4" w:type="pct"/>
            <w:vMerge w:val="continue"/>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000000"/>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投标范围</w:t>
            </w:r>
          </w:p>
        </w:tc>
        <w:tc>
          <w:tcPr>
            <w:tcW w:w="29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4" w:type="pct"/>
            <w:vMerge w:val="continue"/>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000000"/>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工期</w:t>
            </w:r>
          </w:p>
        </w:tc>
        <w:tc>
          <w:tcPr>
            <w:tcW w:w="29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pacing w:val="-4"/>
                <w:sz w:val="24"/>
                <w:szCs w:val="24"/>
              </w:rPr>
            </w:pPr>
            <w:r>
              <w:rPr>
                <w:rFonts w:hint="eastAsia" w:ascii="宋体" w:hAnsi="宋体" w:eastAsia="宋体" w:cs="宋体"/>
                <w:sz w:val="24"/>
                <w:szCs w:val="24"/>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4" w:type="pct"/>
            <w:vMerge w:val="continue"/>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000000"/>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rPr>
            </w:pPr>
            <w:r>
              <w:rPr>
                <w:rFonts w:hint="eastAsia" w:ascii="宋体" w:hAnsi="宋体" w:eastAsia="宋体" w:cs="宋体"/>
                <w:color w:val="000000"/>
                <w:sz w:val="24"/>
                <w:szCs w:val="24"/>
              </w:rPr>
              <w:t>质量</w:t>
            </w:r>
          </w:p>
        </w:tc>
        <w:tc>
          <w:tcPr>
            <w:tcW w:w="29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pacing w:val="-4"/>
                <w:sz w:val="24"/>
                <w:szCs w:val="24"/>
              </w:rPr>
            </w:pPr>
            <w:r>
              <w:rPr>
                <w:rFonts w:hint="eastAsia" w:ascii="宋体" w:hAnsi="宋体" w:eastAsia="宋体" w:cs="宋体"/>
                <w:sz w:val="24"/>
                <w:szCs w:val="24"/>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4" w:type="pct"/>
            <w:vMerge w:val="continue"/>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000000"/>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投标有效期</w:t>
            </w:r>
          </w:p>
        </w:tc>
        <w:tc>
          <w:tcPr>
            <w:tcW w:w="29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pacing w:val="-4"/>
                <w:sz w:val="24"/>
                <w:szCs w:val="24"/>
              </w:rPr>
            </w:pPr>
            <w:r>
              <w:rPr>
                <w:rFonts w:hint="eastAsia" w:ascii="宋体" w:hAnsi="宋体" w:eastAsia="宋体" w:cs="宋体"/>
                <w:sz w:val="24"/>
                <w:szCs w:val="24"/>
              </w:rPr>
              <w:t>符合第二章“投标人须知前附表”规定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454" w:type="pct"/>
            <w:vMerge w:val="continue"/>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color w:val="000000"/>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sz w:val="24"/>
                <w:szCs w:val="24"/>
              </w:rPr>
            </w:pPr>
            <w:r>
              <w:rPr>
                <w:rFonts w:hint="eastAsia" w:ascii="宋体" w:hAnsi="宋体" w:eastAsia="宋体" w:cs="宋体"/>
                <w:sz w:val="24"/>
                <w:szCs w:val="24"/>
              </w:rPr>
              <w:t>投标报价</w:t>
            </w:r>
          </w:p>
        </w:tc>
        <w:tc>
          <w:tcPr>
            <w:tcW w:w="292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textAlignment w:val="auto"/>
              <w:rPr>
                <w:rFonts w:hint="eastAsia" w:ascii="宋体" w:hAnsi="宋体" w:eastAsia="宋体" w:cs="宋体"/>
                <w:sz w:val="24"/>
                <w:szCs w:val="24"/>
              </w:rPr>
            </w:pPr>
            <w:r>
              <w:rPr>
                <w:rFonts w:hint="eastAsia" w:ascii="宋体" w:hAnsi="宋体" w:eastAsia="宋体" w:cs="宋体"/>
                <w:sz w:val="24"/>
                <w:szCs w:val="24"/>
              </w:rPr>
              <w:t>投标报价不得高于预算金额或低于项目成本价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6" w:hRule="atLeast"/>
        </w:trPr>
        <w:tc>
          <w:tcPr>
            <w:tcW w:w="454"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b/>
                <w:bCs/>
                <w:color w:val="000000"/>
                <w:sz w:val="24"/>
                <w:szCs w:val="24"/>
              </w:rPr>
            </w:pPr>
            <w:r>
              <w:rPr>
                <w:rFonts w:hint="eastAsia" w:ascii="宋体" w:hAnsi="宋体" w:eastAsia="宋体" w:cs="宋体"/>
                <w:color w:val="000000"/>
                <w:sz w:val="24"/>
                <w:szCs w:val="24"/>
              </w:rPr>
              <w:t>2.2.1</w:t>
            </w:r>
          </w:p>
        </w:tc>
        <w:tc>
          <w:tcPr>
            <w:tcW w:w="70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分值构成</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（100分）</w:t>
            </w:r>
          </w:p>
        </w:tc>
        <w:tc>
          <w:tcPr>
            <w:tcW w:w="3837" w:type="pct"/>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投标报价：30分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技术</w:t>
            </w:r>
            <w:r>
              <w:rPr>
                <w:rFonts w:hint="eastAsia" w:ascii="宋体" w:hAnsi="宋体" w:cs="宋体"/>
                <w:sz w:val="24"/>
                <w:szCs w:val="24"/>
                <w:lang w:val="en-US" w:eastAsia="zh-CN"/>
              </w:rPr>
              <w:t>部分</w:t>
            </w:r>
            <w:r>
              <w:rPr>
                <w:rFonts w:hint="eastAsia" w:ascii="宋体" w:hAnsi="宋体" w:eastAsia="宋体" w:cs="宋体"/>
                <w:sz w:val="24"/>
                <w:szCs w:val="24"/>
                <w:lang w:val="en-US" w:eastAsia="zh-CN"/>
              </w:rPr>
              <w:t>：50分</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商务</w:t>
            </w:r>
            <w:r>
              <w:rPr>
                <w:rFonts w:hint="eastAsia" w:ascii="宋体" w:hAnsi="宋体" w:cs="宋体"/>
                <w:sz w:val="24"/>
                <w:szCs w:val="24"/>
                <w:lang w:val="en-US" w:eastAsia="zh-CN"/>
              </w:rPr>
              <w:t>部分</w:t>
            </w:r>
            <w:r>
              <w:rPr>
                <w:rFonts w:hint="eastAsia" w:ascii="宋体" w:hAnsi="宋体" w:eastAsia="宋体" w:cs="宋体"/>
                <w:sz w:val="24"/>
                <w:szCs w:val="24"/>
                <w:lang w:val="en-US" w:eastAsia="zh-CN"/>
              </w:rPr>
              <w:t>：20分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5" w:hRule="atLeast"/>
        </w:trPr>
        <w:tc>
          <w:tcPr>
            <w:tcW w:w="454"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2.2.2</w:t>
            </w:r>
          </w:p>
        </w:tc>
        <w:tc>
          <w:tcPr>
            <w:tcW w:w="707"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投标报价</w:t>
            </w:r>
          </w:p>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分</w:t>
            </w:r>
          </w:p>
        </w:tc>
        <w:tc>
          <w:tcPr>
            <w:tcW w:w="3837" w:type="pct"/>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综合评分法中的价格分统一采用低价优先法计算，即满足磋商文件要求且最后报价最低的投标人的价格为磋商基准价，其价格分为满分。其他投标人的价格分统一按照下列公式计算：</w:t>
            </w:r>
          </w:p>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磋商报价得分=（磋商基准价/最后磋商报价）×30%×100。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 w:type="pct"/>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2.2.3</w:t>
            </w:r>
          </w:p>
        </w:tc>
        <w:tc>
          <w:tcPr>
            <w:tcW w:w="707" w:type="pct"/>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center"/>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技术</w:t>
            </w:r>
            <w:r>
              <w:rPr>
                <w:rFonts w:hint="eastAsia" w:ascii="宋体" w:hAnsi="宋体" w:cs="宋体"/>
                <w:color w:val="000000"/>
                <w:sz w:val="24"/>
                <w:szCs w:val="24"/>
                <w:lang w:val="en-US" w:eastAsia="zh-CN"/>
              </w:rPr>
              <w:t>部分</w:t>
            </w:r>
          </w:p>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50</w:t>
            </w:r>
            <w:r>
              <w:rPr>
                <w:rFonts w:hint="eastAsia" w:ascii="宋体" w:hAnsi="宋体" w:eastAsia="宋体" w:cs="宋体"/>
                <w:color w:val="000000"/>
                <w:sz w:val="24"/>
                <w:szCs w:val="24"/>
              </w:rPr>
              <w:t>分</w:t>
            </w: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1.主要施工方法（</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w:t>
            </w:r>
          </w:p>
        </w:tc>
        <w:tc>
          <w:tcPr>
            <w:tcW w:w="2927" w:type="pct"/>
            <w:vAlign w:val="center"/>
          </w:tcPr>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1.施工方案总体安排基本合理，基本符合现场实际情况,与实际地址、地貌基本相符，施工工艺基本合理、基本可行；对施工难点有可行的建议的得2分； </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2.施工方案总体安排合理，符合现场实际情况,与实际地址、地貌相符，施工工艺合理、可行；对施工难点建议一般的得4分；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3.施工方案总体安排科学、合理，完全符合现场实际情况，与实际地址、地貌完全相符，运用先进、合理的施工工艺、施工机械；对施工难点有先进和合理的建议的得6分。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05" w:firstLineChars="50"/>
              <w:jc w:val="left"/>
              <w:textAlignment w:val="auto"/>
              <w:rPr>
                <w:rFonts w:hint="eastAsia" w:ascii="宋体" w:hAnsi="宋体" w:eastAsia="宋体" w:cs="宋体"/>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90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2.</w:t>
            </w:r>
            <w:r>
              <w:rPr>
                <w:rFonts w:hint="eastAsia" w:ascii="宋体" w:hAnsi="宋体" w:eastAsia="宋体" w:cs="宋体"/>
                <w:sz w:val="24"/>
                <w:szCs w:val="24"/>
                <w:lang w:val="en-US" w:eastAsia="zh-CN"/>
              </w:rPr>
              <w:t>拟投入的主要物资计划</w:t>
            </w: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w:t>
            </w:r>
          </w:p>
        </w:tc>
        <w:tc>
          <w:tcPr>
            <w:tcW w:w="2927" w:type="pct"/>
            <w:vAlign w:val="center"/>
          </w:tcPr>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1.主要物资投入计划与进度计划基本呼应，基本满足施工需要，调配投入计划基本合理的得1分；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2.主要物资投入计划与进度计划呼应，满足施工需要，调配投入计划合理的得2分；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3.主要物资投入计划与进度计划呼应，完全满足施工需要，调配投入计划合理、准确的得4分。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909" w:type="pct"/>
            <w:vAlign w:val="center"/>
          </w:tcPr>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left"/>
              <w:textAlignment w:val="auto"/>
              <w:rPr>
                <w:rFonts w:hint="eastAsia" w:ascii="宋体" w:hAnsi="宋体" w:eastAsia="宋体" w:cs="宋体"/>
                <w:sz w:val="24"/>
                <w:szCs w:val="24"/>
                <w:lang w:val="en-US" w:eastAsia="zh-CN"/>
              </w:rPr>
            </w:pPr>
            <w:r>
              <w:rPr>
                <w:rFonts w:hint="eastAsia" w:ascii="宋体" w:hAnsi="宋体" w:cs="宋体"/>
                <w:sz w:val="24"/>
                <w:szCs w:val="24"/>
                <w:lang w:val="en-US" w:eastAsia="zh-CN"/>
              </w:rPr>
              <w:t>3.</w:t>
            </w:r>
            <w:r>
              <w:rPr>
                <w:rFonts w:hint="eastAsia" w:ascii="宋体" w:hAnsi="宋体" w:eastAsia="宋体" w:cs="宋体"/>
                <w:sz w:val="24"/>
                <w:szCs w:val="24"/>
                <w:lang w:val="en-US" w:eastAsia="zh-CN"/>
              </w:rPr>
              <w:t>拟投入的主要施工机械</w:t>
            </w:r>
          </w:p>
          <w:p>
            <w:pPr>
              <w:keepNext w:val="0"/>
              <w:keepLines w:val="0"/>
              <w:pageBreakBefore w:val="0"/>
              <w:widowControl w:val="0"/>
              <w:numPr>
                <w:ilvl w:val="0"/>
                <w:numId w:val="0"/>
              </w:numPr>
              <w:kinsoku/>
              <w:wordWrap/>
              <w:overflowPunct/>
              <w:topLinePunct w:val="0"/>
              <w:autoSpaceDE/>
              <w:autoSpaceDN/>
              <w:bidi w:val="0"/>
              <w:adjustRightInd/>
              <w:snapToGrid/>
              <w:spacing w:after="0" w:line="240" w:lineRule="auto"/>
              <w:ind w:left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w:t>
            </w:r>
          </w:p>
        </w:tc>
        <w:tc>
          <w:tcPr>
            <w:tcW w:w="2927" w:type="pct"/>
            <w:vAlign w:val="center"/>
          </w:tcPr>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1.投入计划与进度计划基本呼应，机械设备配置基本合理，基本满足安全技术规范和施工进度需要的得1 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2.投入计划与进度计划呼应，机械设备配置合理，满足安全技术规范和施工进度需要的得2分；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3.投入计划与进度计划呼应，采用先进机械设备且配置合理、 先进，完全满足安全技术规范和施工进度需要；运输、安装设备满足施工要求的得4分。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4.劳动力安排计划（</w:t>
            </w:r>
            <w:r>
              <w:rPr>
                <w:rFonts w:hint="eastAsia" w:ascii="宋体" w:hAnsi="宋体" w:cs="宋体"/>
                <w:sz w:val="24"/>
                <w:szCs w:val="24"/>
                <w:lang w:val="en-US" w:eastAsia="zh-CN"/>
              </w:rPr>
              <w:t>4</w:t>
            </w:r>
            <w:r>
              <w:rPr>
                <w:rFonts w:hint="eastAsia" w:ascii="宋体" w:hAnsi="宋体" w:eastAsia="宋体" w:cs="宋体"/>
                <w:sz w:val="24"/>
                <w:szCs w:val="24"/>
                <w:lang w:val="en-US" w:eastAsia="zh-CN"/>
              </w:rPr>
              <w:t>分）</w:t>
            </w:r>
          </w:p>
        </w:tc>
        <w:tc>
          <w:tcPr>
            <w:tcW w:w="2927" w:type="pct"/>
            <w:vAlign w:val="center"/>
          </w:tcPr>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1.投入计划与进度计划基本呼应，基本满足施工需要，调配投入计划基本合理的得1分；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2.投入计划与进度计划呼应，满足施工需要，调配投入计划合理的得2分；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3.投入计划与进度计划呼应，完全满足施工需要，调配投入计划合理、准确的得4分。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5.确保工程质量的技术组织措施（</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w:t>
            </w:r>
          </w:p>
        </w:tc>
        <w:tc>
          <w:tcPr>
            <w:tcW w:w="2927" w:type="pct"/>
            <w:vAlign w:val="center"/>
          </w:tcPr>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1.组织机构形式基本合理，指挥系统、质量监控系统、联络协 调系统，具体措施基本可行，质量保证措施经济、安全、基本可行的得</w:t>
            </w:r>
            <w:r>
              <w:rPr>
                <w:rFonts w:hint="eastAsia" w:cs="宋体"/>
                <w:kern w:val="2"/>
                <w:sz w:val="24"/>
                <w:szCs w:val="24"/>
                <w:lang w:val="en-US" w:eastAsia="zh-CN" w:bidi="ar-SA"/>
              </w:rPr>
              <w:t>2</w:t>
            </w:r>
            <w:r>
              <w:rPr>
                <w:rFonts w:hint="eastAsia" w:ascii="宋体" w:hAnsi="宋体" w:eastAsia="宋体" w:cs="宋体"/>
                <w:kern w:val="2"/>
                <w:sz w:val="24"/>
                <w:szCs w:val="24"/>
                <w:lang w:val="en-US" w:eastAsia="zh-CN" w:bidi="ar-SA"/>
              </w:rPr>
              <w:t>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2.组织机构形式合理，指挥系统、质量监控系统、联络协调系统，具体措施可行，质量保证措施经济、安全、可行的得</w:t>
            </w:r>
            <w:r>
              <w:rPr>
                <w:rFonts w:hint="eastAsia" w:cs="宋体"/>
                <w:kern w:val="2"/>
                <w:sz w:val="24"/>
                <w:szCs w:val="24"/>
                <w:lang w:val="en-US" w:eastAsia="zh-CN" w:bidi="ar-SA"/>
              </w:rPr>
              <w:t>4</w:t>
            </w:r>
            <w:r>
              <w:rPr>
                <w:rFonts w:hint="eastAsia" w:ascii="宋体" w:hAnsi="宋体" w:eastAsia="宋体" w:cs="宋体"/>
                <w:kern w:val="2"/>
                <w:sz w:val="24"/>
                <w:szCs w:val="24"/>
                <w:lang w:val="en-US" w:eastAsia="zh-CN" w:bidi="ar-SA"/>
              </w:rPr>
              <w:t>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3.组织机构形式合理，有完善的指挥系统、质量监控系统、联 络协调系统，对项目提出先进、合理、具体的保证措施，质量保证措施完整得力、经济、安全、切实可行的得</w:t>
            </w:r>
            <w:r>
              <w:rPr>
                <w:rFonts w:hint="eastAsia" w:cs="宋体"/>
                <w:kern w:val="2"/>
                <w:sz w:val="24"/>
                <w:szCs w:val="24"/>
                <w:lang w:val="en-US" w:eastAsia="zh-CN" w:bidi="ar-SA"/>
              </w:rPr>
              <w:t>6</w:t>
            </w:r>
            <w:r>
              <w:rPr>
                <w:rFonts w:hint="eastAsia" w:ascii="宋体" w:hAnsi="宋体" w:eastAsia="宋体" w:cs="宋体"/>
                <w:kern w:val="2"/>
                <w:sz w:val="24"/>
                <w:szCs w:val="24"/>
                <w:lang w:val="en-US"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6.确保安全生产的技术组织措施（6分）</w:t>
            </w:r>
          </w:p>
        </w:tc>
        <w:tc>
          <w:tcPr>
            <w:tcW w:w="2927" w:type="pct"/>
            <w:vAlign w:val="center"/>
          </w:tcPr>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1.有施工安全生产保障体系、安全责任制和安全管理制度，现场安全管理机构、人员配备基本满足国家规定的得</w:t>
            </w:r>
            <w:r>
              <w:rPr>
                <w:rFonts w:hint="eastAsia" w:cs="宋体"/>
                <w:kern w:val="2"/>
                <w:sz w:val="24"/>
                <w:szCs w:val="24"/>
                <w:lang w:val="en-US" w:eastAsia="zh-CN" w:bidi="ar-SA"/>
              </w:rPr>
              <w:t>2</w:t>
            </w:r>
            <w:r>
              <w:rPr>
                <w:rFonts w:hint="eastAsia" w:ascii="宋体" w:hAnsi="宋体" w:eastAsia="宋体" w:cs="宋体"/>
                <w:kern w:val="2"/>
                <w:sz w:val="24"/>
                <w:szCs w:val="24"/>
                <w:lang w:val="en-US" w:eastAsia="zh-CN" w:bidi="ar-SA"/>
              </w:rPr>
              <w:t>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2.有施工安全生产保障体系、安全责任制和安全管理制度，现场安全管理机构、人员配备满足国家规定的得</w:t>
            </w:r>
            <w:r>
              <w:rPr>
                <w:rFonts w:hint="eastAsia" w:cs="宋体"/>
                <w:kern w:val="2"/>
                <w:sz w:val="24"/>
                <w:szCs w:val="24"/>
                <w:lang w:val="en-US" w:eastAsia="zh-CN" w:bidi="ar-SA"/>
              </w:rPr>
              <w:t>4</w:t>
            </w:r>
            <w:r>
              <w:rPr>
                <w:rFonts w:hint="eastAsia" w:ascii="宋体" w:hAnsi="宋体" w:eastAsia="宋体" w:cs="宋体"/>
                <w:kern w:val="2"/>
                <w:sz w:val="24"/>
                <w:szCs w:val="24"/>
                <w:lang w:val="en-US" w:eastAsia="zh-CN" w:bidi="ar-SA"/>
              </w:rPr>
              <w:t>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3.施工安全生产保障体系健全，安全管理制度完善，安全管理目标具体，全员安全责任制明确，现场安全管理组织机构、人员配备完全满足且优于国家规定要求的得</w:t>
            </w:r>
            <w:r>
              <w:rPr>
                <w:rFonts w:hint="eastAsia" w:cs="宋体"/>
                <w:kern w:val="2"/>
                <w:sz w:val="24"/>
                <w:szCs w:val="24"/>
                <w:lang w:val="en-US" w:eastAsia="zh-CN" w:bidi="ar-SA"/>
              </w:rPr>
              <w:t>6</w:t>
            </w:r>
            <w:r>
              <w:rPr>
                <w:rFonts w:hint="eastAsia" w:ascii="宋体" w:hAnsi="宋体" w:eastAsia="宋体" w:cs="宋体"/>
                <w:kern w:val="2"/>
                <w:sz w:val="24"/>
                <w:szCs w:val="24"/>
                <w:lang w:val="en-US"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7.确保工期的技术组织措施（6分）</w:t>
            </w:r>
          </w:p>
        </w:tc>
        <w:tc>
          <w:tcPr>
            <w:tcW w:w="2927" w:type="pct"/>
            <w:vAlign w:val="center"/>
          </w:tcPr>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1.工期承诺满足招标文件要求，工期保证措施基本合理，有违约责任承诺的得</w:t>
            </w:r>
            <w:r>
              <w:rPr>
                <w:rFonts w:hint="eastAsia" w:cs="宋体"/>
                <w:kern w:val="2"/>
                <w:sz w:val="24"/>
                <w:szCs w:val="24"/>
                <w:lang w:val="en-US" w:eastAsia="zh-CN" w:bidi="ar-SA"/>
              </w:rPr>
              <w:t>2</w:t>
            </w:r>
            <w:r>
              <w:rPr>
                <w:rFonts w:hint="eastAsia" w:ascii="宋体" w:hAnsi="宋体" w:eastAsia="宋体" w:cs="宋体"/>
                <w:kern w:val="2"/>
                <w:sz w:val="24"/>
                <w:szCs w:val="24"/>
                <w:lang w:val="en-US" w:eastAsia="zh-CN" w:bidi="ar-SA"/>
              </w:rPr>
              <w:t>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2.工期承诺满足招标文件要求，工期保证措施合理，有违约责任承诺的得</w:t>
            </w:r>
            <w:r>
              <w:rPr>
                <w:rFonts w:hint="eastAsia" w:cs="宋体"/>
                <w:kern w:val="2"/>
                <w:sz w:val="24"/>
                <w:szCs w:val="24"/>
                <w:lang w:val="en-US" w:eastAsia="zh-CN" w:bidi="ar-SA"/>
              </w:rPr>
              <w:t>4</w:t>
            </w:r>
            <w:r>
              <w:rPr>
                <w:rFonts w:hint="eastAsia" w:ascii="宋体" w:hAnsi="宋体" w:eastAsia="宋体" w:cs="宋体"/>
                <w:kern w:val="2"/>
                <w:sz w:val="24"/>
                <w:szCs w:val="24"/>
                <w:lang w:val="en-US" w:eastAsia="zh-CN" w:bidi="ar-SA"/>
              </w:rPr>
              <w:t>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spacing w:val="-7"/>
                <w:sz w:val="21"/>
                <w:szCs w:val="21"/>
                <w:lang w:val="en-US" w:eastAsia="zh-CN"/>
              </w:rPr>
            </w:pPr>
            <w:r>
              <w:rPr>
                <w:rFonts w:hint="eastAsia" w:ascii="宋体" w:hAnsi="宋体" w:eastAsia="宋体" w:cs="宋体"/>
                <w:kern w:val="2"/>
                <w:sz w:val="24"/>
                <w:szCs w:val="24"/>
                <w:lang w:val="en-US" w:eastAsia="zh-CN" w:bidi="ar-SA"/>
              </w:rPr>
              <w:t>3.工期承诺优于招标文件要求，工期保证措施合理且有针对性，有具体的违约责任承诺的得</w:t>
            </w:r>
            <w:r>
              <w:rPr>
                <w:rFonts w:hint="eastAsia" w:cs="宋体"/>
                <w:kern w:val="2"/>
                <w:sz w:val="24"/>
                <w:szCs w:val="24"/>
                <w:lang w:val="en-US" w:eastAsia="zh-CN" w:bidi="ar-SA"/>
              </w:rPr>
              <w:t>6</w:t>
            </w:r>
            <w:r>
              <w:rPr>
                <w:rFonts w:hint="eastAsia" w:ascii="宋体" w:hAnsi="宋体" w:eastAsia="宋体" w:cs="宋体"/>
                <w:kern w:val="2"/>
                <w:sz w:val="24"/>
                <w:szCs w:val="24"/>
                <w:lang w:val="en-US"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05" w:firstLineChars="50"/>
              <w:jc w:val="left"/>
              <w:textAlignment w:val="auto"/>
              <w:rPr>
                <w:rFonts w:hint="eastAsia" w:ascii="宋体" w:hAnsi="宋体" w:eastAsia="宋体" w:cs="宋体"/>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8.确保文明施工的技术组织措施（5分）</w:t>
            </w:r>
          </w:p>
        </w:tc>
        <w:tc>
          <w:tcPr>
            <w:tcW w:w="2927" w:type="pct"/>
            <w:vAlign w:val="center"/>
          </w:tcPr>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1.有安全文明标准化工地创建目标计划和创建措施，有安全文 明措施费用投入使用计划，现场施工区、生活区、办公区等设置基本符合有关文明施工、健康卫生的规定的得 1 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2.有安全文明标准化工地创建目标计划和创建措施，有安全文 明措施费用投入使用计划，现场施工区、生活区、办公区等设置符合有关文明施工、健康卫生的规定的得 3 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3.创安全文明标准化工地目标明确，有针对项目实际情况，科 学可行的创建计划和符合相关标准、规范、规程的创建保证措施和安全文明措施费用投入使用计划，现场施工区、生活区、办公区等设置完全符合且优于有关文明施工、健康卫生的规定的得5分。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9.环境保护管理体系与措施（</w:t>
            </w:r>
            <w:r>
              <w:rPr>
                <w:rFonts w:hint="eastAsia" w:ascii="宋体" w:hAnsi="宋体" w:cs="宋体"/>
                <w:sz w:val="24"/>
                <w:szCs w:val="24"/>
                <w:lang w:val="en-US" w:eastAsia="zh-CN"/>
              </w:rPr>
              <w:t>6</w:t>
            </w:r>
            <w:r>
              <w:rPr>
                <w:rFonts w:hint="eastAsia" w:ascii="宋体" w:hAnsi="宋体" w:eastAsia="宋体" w:cs="宋体"/>
                <w:sz w:val="24"/>
                <w:szCs w:val="24"/>
                <w:lang w:val="en-US" w:eastAsia="zh-CN"/>
              </w:rPr>
              <w:t>分）</w:t>
            </w:r>
          </w:p>
        </w:tc>
        <w:tc>
          <w:tcPr>
            <w:tcW w:w="2927" w:type="pct"/>
            <w:vAlign w:val="center"/>
          </w:tcPr>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1.施工现场扬尘治理措施基本达到河南省《城市房屋建筑和市政基础设施工程及道路扬尘污染防治标准》（DBJ41/174）的规定，防治方案基本可行的得</w:t>
            </w:r>
            <w:r>
              <w:rPr>
                <w:rFonts w:hint="eastAsia" w:cs="宋体"/>
                <w:kern w:val="2"/>
                <w:sz w:val="24"/>
                <w:szCs w:val="24"/>
                <w:lang w:val="en-US" w:eastAsia="zh-CN" w:bidi="ar-SA"/>
              </w:rPr>
              <w:t>2</w:t>
            </w:r>
            <w:r>
              <w:rPr>
                <w:rFonts w:hint="eastAsia" w:ascii="宋体" w:hAnsi="宋体" w:eastAsia="宋体" w:cs="宋体"/>
                <w:kern w:val="2"/>
                <w:sz w:val="24"/>
                <w:szCs w:val="24"/>
                <w:lang w:val="en-US" w:eastAsia="zh-CN" w:bidi="ar-SA"/>
              </w:rPr>
              <w:t>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2.施工现场扬尘治理措施达到河南省《城市房屋建筑和市政基础设施工程及道路扬尘污染防治标准》（DBJ41/174）的规定，防治方案可行的得</w:t>
            </w:r>
            <w:r>
              <w:rPr>
                <w:rFonts w:hint="eastAsia" w:cs="宋体"/>
                <w:kern w:val="2"/>
                <w:sz w:val="24"/>
                <w:szCs w:val="24"/>
                <w:lang w:val="en-US" w:eastAsia="zh-CN" w:bidi="ar-SA"/>
              </w:rPr>
              <w:t>4</w:t>
            </w:r>
            <w:r>
              <w:rPr>
                <w:rFonts w:hint="eastAsia" w:ascii="宋体" w:hAnsi="宋体" w:eastAsia="宋体" w:cs="宋体"/>
                <w:kern w:val="2"/>
                <w:sz w:val="24"/>
                <w:szCs w:val="24"/>
                <w:lang w:val="en-US" w:eastAsia="zh-CN" w:bidi="ar-SA"/>
              </w:rPr>
              <w:t>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3.施工现场扬尘治理措施完全符合且优于河南省《城市房屋建筑和市政基础设施工程及道路扬尘污染防治标准》（DBJ41/174）的规定，防治方案科学、先进的得</w:t>
            </w:r>
            <w:r>
              <w:rPr>
                <w:rFonts w:hint="eastAsia" w:cs="宋体"/>
                <w:kern w:val="2"/>
                <w:sz w:val="24"/>
                <w:szCs w:val="24"/>
                <w:lang w:val="en-US" w:eastAsia="zh-CN" w:bidi="ar-SA"/>
              </w:rPr>
              <w:t>6</w:t>
            </w:r>
            <w:r>
              <w:rPr>
                <w:rFonts w:hint="eastAsia" w:ascii="宋体" w:hAnsi="宋体" w:eastAsia="宋体" w:cs="宋体"/>
                <w:kern w:val="2"/>
                <w:sz w:val="24"/>
                <w:szCs w:val="24"/>
                <w:lang w:val="en-US"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909" w:type="pct"/>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10.施工总进度表或施工网路图（3分）</w:t>
            </w:r>
          </w:p>
        </w:tc>
        <w:tc>
          <w:tcPr>
            <w:tcW w:w="2927" w:type="pct"/>
            <w:vAlign w:val="center"/>
          </w:tcPr>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1.关键线路基本准确，计划编制基本可行的得</w:t>
            </w:r>
            <w:r>
              <w:rPr>
                <w:rFonts w:hint="eastAsia" w:cs="宋体"/>
                <w:kern w:val="2"/>
                <w:sz w:val="24"/>
                <w:szCs w:val="24"/>
                <w:lang w:val="en-US" w:eastAsia="zh-CN" w:bidi="ar-SA"/>
              </w:rPr>
              <w:t>1</w:t>
            </w:r>
            <w:r>
              <w:rPr>
                <w:rFonts w:hint="eastAsia" w:ascii="宋体" w:hAnsi="宋体" w:eastAsia="宋体" w:cs="宋体"/>
                <w:kern w:val="2"/>
                <w:sz w:val="24"/>
                <w:szCs w:val="24"/>
                <w:lang w:val="en-US" w:eastAsia="zh-CN" w:bidi="ar-SA"/>
              </w:rPr>
              <w:t>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2.关键线路准确，计划编制可行的得</w:t>
            </w:r>
            <w:r>
              <w:rPr>
                <w:rFonts w:hint="eastAsia" w:cs="宋体"/>
                <w:kern w:val="2"/>
                <w:sz w:val="24"/>
                <w:szCs w:val="24"/>
                <w:lang w:val="en-US" w:eastAsia="zh-CN" w:bidi="ar-SA"/>
              </w:rPr>
              <w:t>2</w:t>
            </w:r>
            <w:r>
              <w:rPr>
                <w:rFonts w:hint="eastAsia" w:ascii="宋体" w:hAnsi="宋体" w:eastAsia="宋体" w:cs="宋体"/>
                <w:kern w:val="2"/>
                <w:sz w:val="24"/>
                <w:szCs w:val="24"/>
                <w:lang w:val="en-US" w:eastAsia="zh-CN" w:bidi="ar-SA"/>
              </w:rPr>
              <w:t>分；</w:t>
            </w:r>
          </w:p>
          <w:p>
            <w:pPr>
              <w:pStyle w:val="35"/>
              <w:keepNext w:val="0"/>
              <w:keepLines w:val="0"/>
              <w:pageBreakBefore w:val="0"/>
              <w:widowControl w:val="0"/>
              <w:tabs>
                <w:tab w:val="left" w:pos="945"/>
                <w:tab w:val="left" w:pos="1155"/>
              </w:tabs>
              <w:kinsoku/>
              <w:wordWrap/>
              <w:overflowPunct/>
              <w:topLinePunct w:val="0"/>
              <w:autoSpaceDE/>
              <w:autoSpaceDN/>
              <w:bidi w:val="0"/>
              <w:adjustRightInd/>
              <w:snapToGrid/>
              <w:spacing w:after="0" w:line="240" w:lineRule="auto"/>
              <w:ind w:firstLine="0" w:firstLineChars="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3.关键线路清晰、准确、完整、计划编制合理、可行的得</w:t>
            </w:r>
            <w:r>
              <w:rPr>
                <w:rFonts w:hint="eastAsia" w:cs="宋体"/>
                <w:kern w:val="2"/>
                <w:sz w:val="24"/>
                <w:szCs w:val="24"/>
                <w:lang w:val="en-US" w:eastAsia="zh-CN" w:bidi="ar-SA"/>
              </w:rPr>
              <w:t>3</w:t>
            </w:r>
            <w:r>
              <w:rPr>
                <w:rFonts w:hint="eastAsia" w:ascii="宋体" w:hAnsi="宋体" w:eastAsia="宋体" w:cs="宋体"/>
                <w:kern w:val="2"/>
                <w:sz w:val="24"/>
                <w:szCs w:val="24"/>
                <w:lang w:val="en-US" w:eastAsia="zh-CN" w:bidi="ar-SA"/>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3837" w:type="pct"/>
            <w:gridSpan w:val="2"/>
            <w:vAlign w:val="center"/>
          </w:tcPr>
          <w:p>
            <w:pPr>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rPr>
              <w:t>说明：以上技术部分项目若有缺项，该项为0分。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454" w:type="pct"/>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2.2.4</w:t>
            </w:r>
          </w:p>
        </w:tc>
        <w:tc>
          <w:tcPr>
            <w:tcW w:w="707" w:type="pct"/>
            <w:vMerge w:val="restart"/>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lang w:val="en-US" w:eastAsia="zh-CN"/>
              </w:rPr>
            </w:pPr>
            <w:r>
              <w:rPr>
                <w:rFonts w:hint="eastAsia" w:ascii="宋体" w:hAnsi="宋体" w:eastAsia="宋体" w:cs="宋体"/>
                <w:color w:val="000000"/>
                <w:sz w:val="24"/>
                <w:szCs w:val="24"/>
                <w:lang w:val="en-US" w:eastAsia="zh-CN"/>
              </w:rPr>
              <w:t>商务</w:t>
            </w:r>
            <w:r>
              <w:rPr>
                <w:rFonts w:hint="eastAsia" w:ascii="宋体" w:hAnsi="宋体" w:cs="宋体"/>
                <w:color w:val="000000"/>
                <w:sz w:val="24"/>
                <w:szCs w:val="24"/>
                <w:lang w:val="en-US" w:eastAsia="zh-CN"/>
              </w:rPr>
              <w:t>部分</w:t>
            </w:r>
          </w:p>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rPr>
              <w:t>2</w:t>
            </w:r>
            <w:r>
              <w:rPr>
                <w:rFonts w:hint="eastAsia" w:ascii="宋体" w:hAnsi="宋体" w:eastAsia="宋体" w:cs="宋体"/>
                <w:color w:val="000000"/>
                <w:sz w:val="24"/>
                <w:szCs w:val="24"/>
                <w:lang w:val="en-US" w:eastAsia="zh-CN"/>
              </w:rPr>
              <w:t>0</w:t>
            </w:r>
            <w:r>
              <w:rPr>
                <w:rFonts w:hint="eastAsia" w:ascii="宋体" w:hAnsi="宋体" w:eastAsia="宋体" w:cs="宋体"/>
                <w:color w:val="000000"/>
                <w:sz w:val="24"/>
                <w:szCs w:val="24"/>
              </w:rPr>
              <w:t>分</w:t>
            </w:r>
          </w:p>
        </w:tc>
        <w:tc>
          <w:tcPr>
            <w:tcW w:w="3837" w:type="pct"/>
            <w:gridSpan w:val="2"/>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79" w:firstLineChars="33"/>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1.投标人提供202</w:t>
            </w:r>
            <w:r>
              <w:rPr>
                <w:rFonts w:hint="eastAsia" w:ascii="宋体" w:hAnsi="宋体" w:cs="宋体"/>
                <w:kern w:val="2"/>
                <w:sz w:val="24"/>
                <w:szCs w:val="24"/>
                <w:lang w:val="en-US" w:eastAsia="zh-CN" w:bidi="ar-SA"/>
              </w:rPr>
              <w:t>1</w:t>
            </w:r>
            <w:r>
              <w:rPr>
                <w:rFonts w:hint="eastAsia" w:ascii="宋体" w:hAnsi="宋体" w:eastAsia="宋体" w:cs="宋体"/>
                <w:kern w:val="2"/>
                <w:sz w:val="24"/>
                <w:szCs w:val="24"/>
                <w:lang w:val="en-US" w:eastAsia="zh-CN" w:bidi="ar-SA"/>
              </w:rPr>
              <w:t>年1月1日以来（以合同签订时间为准）企业承建过的施工业绩，每提供1份业绩得3分，最多得6分（须提供中标通知书、施工合同、竣工验收证明材料。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45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hint="eastAsia" w:ascii="宋体" w:hAnsi="宋体" w:eastAsia="宋体" w:cs="宋体"/>
                <w:color w:val="000000"/>
                <w:sz w:val="24"/>
                <w:szCs w:val="24"/>
              </w:rPr>
            </w:pPr>
          </w:p>
        </w:tc>
        <w:tc>
          <w:tcPr>
            <w:tcW w:w="3837" w:type="pct"/>
            <w:gridSpan w:val="2"/>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79" w:firstLineChars="33"/>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2.投标人获得质量管理体系认证、环境管理体系认证、职业健康安全管理体系认证，齐全的5分，缺一项不得分。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7" w:hRule="atLeast"/>
        </w:trPr>
        <w:tc>
          <w:tcPr>
            <w:tcW w:w="45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05" w:firstLineChars="50"/>
              <w:jc w:val="left"/>
              <w:textAlignment w:val="auto"/>
              <w:rPr>
                <w:rFonts w:hint="eastAsia" w:ascii="宋体" w:hAnsi="宋体" w:eastAsia="宋体" w:cs="宋体"/>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3837" w:type="pct"/>
            <w:gridSpan w:val="2"/>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79" w:firstLineChars="33"/>
              <w:jc w:val="left"/>
              <w:textAlignment w:val="auto"/>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.投标人企业信用等级被评为AAA 级且在有效期内的得</w:t>
            </w:r>
            <w:r>
              <w:rPr>
                <w:rFonts w:hint="eastAsia" w:ascii="宋体" w:hAnsi="宋体" w:cs="宋体"/>
                <w:kern w:val="2"/>
                <w:sz w:val="24"/>
                <w:szCs w:val="24"/>
                <w:lang w:val="en-US" w:eastAsia="zh-CN" w:bidi="ar-SA"/>
              </w:rPr>
              <w:t>5</w:t>
            </w:r>
            <w:r>
              <w:rPr>
                <w:rFonts w:hint="eastAsia" w:ascii="宋体" w:hAnsi="宋体" w:eastAsia="宋体" w:cs="宋体"/>
                <w:kern w:val="2"/>
                <w:sz w:val="24"/>
                <w:szCs w:val="24"/>
                <w:lang w:val="en-US" w:eastAsia="zh-CN" w:bidi="ar-SA"/>
              </w:rPr>
              <w:t>分，企业信用等级被评为AA级且在有效期内的得</w:t>
            </w:r>
            <w:r>
              <w:rPr>
                <w:rFonts w:hint="eastAsia" w:ascii="宋体" w:hAnsi="宋体" w:cs="宋体"/>
                <w:kern w:val="2"/>
                <w:sz w:val="24"/>
                <w:szCs w:val="24"/>
                <w:lang w:val="en-US" w:eastAsia="zh-CN" w:bidi="ar-SA"/>
              </w:rPr>
              <w:t>3</w:t>
            </w:r>
            <w:r>
              <w:rPr>
                <w:rFonts w:hint="eastAsia" w:ascii="宋体" w:hAnsi="宋体" w:eastAsia="宋体" w:cs="宋体"/>
                <w:kern w:val="2"/>
                <w:sz w:val="24"/>
                <w:szCs w:val="24"/>
                <w:lang w:val="en-US" w:eastAsia="zh-CN" w:bidi="ar-SA"/>
              </w:rPr>
              <w:t>分，企业信用等级被评为A级且在有效期内的得1分。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 w:hRule="atLeast"/>
        </w:trPr>
        <w:tc>
          <w:tcPr>
            <w:tcW w:w="45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05" w:firstLineChars="50"/>
              <w:jc w:val="left"/>
              <w:textAlignment w:val="auto"/>
              <w:rPr>
                <w:rFonts w:hint="eastAsia" w:ascii="宋体" w:hAnsi="宋体" w:eastAsia="宋体" w:cs="宋体"/>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3837" w:type="pct"/>
            <w:gridSpan w:val="2"/>
            <w:vAlign w:val="center"/>
          </w:tcPr>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79" w:firstLineChars="33"/>
              <w:jc w:val="left"/>
              <w:textAlignment w:val="auto"/>
              <w:rPr>
                <w:rFonts w:hint="eastAsia" w:ascii="宋体" w:hAnsi="宋体" w:eastAsia="宋体" w:cs="宋体"/>
                <w:kern w:val="2"/>
                <w:sz w:val="24"/>
                <w:szCs w:val="24"/>
                <w:lang w:val="en-US" w:eastAsia="zh-CN" w:bidi="ar-SA"/>
              </w:rPr>
            </w:pPr>
            <w:r>
              <w:rPr>
                <w:rFonts w:hint="eastAsia" w:ascii="宋体" w:hAnsi="宋体" w:cs="宋体"/>
                <w:kern w:val="2"/>
                <w:sz w:val="24"/>
                <w:szCs w:val="24"/>
                <w:lang w:val="en-US" w:eastAsia="zh-CN" w:bidi="ar-SA"/>
              </w:rPr>
              <w:t>4</w:t>
            </w:r>
            <w:r>
              <w:rPr>
                <w:rFonts w:hint="eastAsia" w:ascii="宋体" w:hAnsi="宋体" w:eastAsia="宋体" w:cs="宋体"/>
                <w:kern w:val="2"/>
                <w:sz w:val="24"/>
                <w:szCs w:val="24"/>
                <w:lang w:val="en-US" w:eastAsia="zh-CN" w:bidi="ar-SA"/>
              </w:rPr>
              <w:t>.根据</w:t>
            </w:r>
            <w:r>
              <w:rPr>
                <w:rFonts w:hint="eastAsia" w:ascii="宋体" w:hAnsi="宋体" w:cs="宋体"/>
                <w:kern w:val="2"/>
                <w:sz w:val="24"/>
                <w:szCs w:val="24"/>
                <w:lang w:val="en-US" w:eastAsia="zh-CN" w:bidi="ar-SA"/>
              </w:rPr>
              <w:t>投标人</w:t>
            </w:r>
            <w:r>
              <w:rPr>
                <w:rFonts w:hint="eastAsia" w:ascii="宋体" w:hAnsi="宋体" w:eastAsia="宋体" w:cs="宋体"/>
                <w:kern w:val="2"/>
                <w:sz w:val="24"/>
                <w:szCs w:val="24"/>
                <w:lang w:val="en-US" w:eastAsia="zh-CN" w:bidi="ar-SA"/>
              </w:rPr>
              <w:t xml:space="preserve">拟派项目经理、技术负责人及施工员、质量员、安全员、 </w:t>
            </w:r>
          </w:p>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79" w:firstLineChars="33"/>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 xml:space="preserve">材料员、资料员有在岗、更换等履职尽责承诺的完整性、可行性进行 </w:t>
            </w:r>
          </w:p>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79" w:firstLineChars="33"/>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综合比价打分。内容完整、合理且可行的得</w:t>
            </w:r>
            <w:r>
              <w:rPr>
                <w:rFonts w:hint="eastAsia" w:ascii="宋体" w:hAnsi="宋体" w:cs="宋体"/>
                <w:kern w:val="2"/>
                <w:sz w:val="24"/>
                <w:szCs w:val="24"/>
                <w:lang w:val="en-US" w:eastAsia="zh-CN" w:bidi="ar-SA"/>
              </w:rPr>
              <w:t>4</w:t>
            </w:r>
            <w:r>
              <w:rPr>
                <w:rFonts w:hint="eastAsia" w:ascii="宋体" w:hAnsi="宋体" w:eastAsia="宋体" w:cs="宋体"/>
                <w:kern w:val="2"/>
                <w:sz w:val="24"/>
                <w:szCs w:val="24"/>
                <w:lang w:val="en-US" w:eastAsia="zh-CN" w:bidi="ar-SA"/>
              </w:rPr>
              <w:t xml:space="preserve">分，内容比较完整、 </w:t>
            </w:r>
          </w:p>
          <w:p>
            <w:pPr>
              <w:keepNext w:val="0"/>
              <w:keepLines w:val="0"/>
              <w:pageBreakBefore w:val="0"/>
              <w:widowControl/>
              <w:suppressLineNumbers w:val="0"/>
              <w:kinsoku/>
              <w:wordWrap/>
              <w:overflowPunct/>
              <w:topLinePunct w:val="0"/>
              <w:autoSpaceDE/>
              <w:autoSpaceDN/>
              <w:bidi w:val="0"/>
              <w:adjustRightInd/>
              <w:snapToGrid/>
              <w:spacing w:after="0" w:line="240" w:lineRule="auto"/>
              <w:ind w:left="0" w:leftChars="0" w:firstLine="79" w:firstLineChars="33"/>
              <w:jc w:val="left"/>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一般的得2分</w:t>
            </w:r>
            <w:r>
              <w:rPr>
                <w:rFonts w:hint="eastAsia" w:ascii="宋体" w:hAnsi="宋体" w:cs="宋体"/>
                <w:kern w:val="2"/>
                <w:sz w:val="24"/>
                <w:szCs w:val="24"/>
                <w:lang w:val="en-US" w:eastAsia="zh-CN" w:bidi="ar-SA"/>
              </w:rPr>
              <w:t>，未提供的不得分</w:t>
            </w:r>
            <w:r>
              <w:rPr>
                <w:rFonts w:hint="eastAsia" w:ascii="宋体" w:hAnsi="宋体" w:eastAsia="宋体" w:cs="宋体"/>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trPr>
        <w:tc>
          <w:tcPr>
            <w:tcW w:w="454"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707" w:type="pct"/>
            <w:vMerge w:val="continue"/>
            <w:vAlign w:val="center"/>
          </w:tcPr>
          <w:p>
            <w:pPr>
              <w:keepNext w:val="0"/>
              <w:keepLines w:val="0"/>
              <w:pageBreakBefore w:val="0"/>
              <w:widowControl w:val="0"/>
              <w:kinsoku/>
              <w:wordWrap/>
              <w:overflowPunct/>
              <w:topLinePunct w:val="0"/>
              <w:autoSpaceDE/>
              <w:autoSpaceDN/>
              <w:bidi w:val="0"/>
              <w:adjustRightInd/>
              <w:snapToGrid/>
              <w:spacing w:after="0" w:line="240" w:lineRule="auto"/>
              <w:ind w:firstLine="120" w:firstLineChars="50"/>
              <w:jc w:val="left"/>
              <w:textAlignment w:val="auto"/>
              <w:rPr>
                <w:rFonts w:hint="eastAsia" w:ascii="宋体" w:hAnsi="宋体" w:eastAsia="宋体" w:cs="宋体"/>
                <w:sz w:val="24"/>
                <w:szCs w:val="24"/>
              </w:rPr>
            </w:pPr>
          </w:p>
        </w:tc>
        <w:tc>
          <w:tcPr>
            <w:tcW w:w="3837" w:type="pct"/>
            <w:gridSpan w:val="2"/>
            <w:vAlign w:val="center"/>
          </w:tcPr>
          <w:p>
            <w:pPr>
              <w:pStyle w:val="148"/>
              <w:keepNext w:val="0"/>
              <w:keepLines w:val="0"/>
              <w:pageBreakBefore w:val="0"/>
              <w:widowControl w:val="0"/>
              <w:kinsoku/>
              <w:wordWrap/>
              <w:overflowPunct/>
              <w:topLinePunct w:val="0"/>
              <w:autoSpaceDE/>
              <w:autoSpaceDN/>
              <w:bidi w:val="0"/>
              <w:adjustRightInd/>
              <w:snapToGrid/>
              <w:spacing w:after="0" w:line="240" w:lineRule="auto"/>
              <w:ind w:left="108" w:right="160"/>
              <w:jc w:val="both"/>
              <w:textAlignment w:val="auto"/>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注：投标人须在响应文件中附相关证明材料原件扫描件并加盖单位公章，且承诺提供的扫描件与原件一致，未按要求提供的不予得分。</w:t>
            </w:r>
          </w:p>
        </w:tc>
      </w:tr>
    </w:tbl>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1.以上各项打分均由磋商小组共同认定，如磋商小组在认定上出现意见分歧，由磋商小组进行表决，以少数服从多数决定原则确定，并作记录。</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2.如磋商小组一致认为最低报价明显不合理，有降低质量、不能诚信履约的可能时，磋商小组有权通知投标人进行解释。如投标人未能在规定期限内作出解释，或所作解释不合理，经磋商小组取得一致意见后，对该投标人将不予推荐。</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b w:val="0"/>
          <w:bCs w:val="0"/>
          <w:sz w:val="24"/>
          <w:szCs w:val="24"/>
        </w:rPr>
      </w:pPr>
      <w:r>
        <w:rPr>
          <w:rFonts w:hint="eastAsia" w:ascii="宋体" w:hAnsi="宋体" w:eastAsia="宋体" w:cs="宋体"/>
          <w:b w:val="0"/>
          <w:bCs w:val="0"/>
          <w:sz w:val="24"/>
          <w:szCs w:val="24"/>
        </w:rPr>
        <w:t>3.评审过程中，所有数值计算均保留小数点后两位（四舍五入），计算的最终结果保留小数点后二位（四舍五入）。</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磋商办法</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经磋商确定最终采购需求和提交最后报价的投标人后，由磋商小组采用综合评分法对提交最后报价的投标人的响应文件和最后报价进行综合评分。</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磋商小组对满足磋商文件实质性要求的响应文件，按照本章评标办法规定的评分标准进行综合评审得分，按得分由高到低顺序推荐3名中标候选人，但投标报价低于其成本的除外。评审得分相同的，按照最后报价由低到高的顺序推荐；评审得分且最后报价相同的按照技术部分优劣顺序推荐。</w:t>
      </w:r>
    </w:p>
    <w:p>
      <w:pPr>
        <w:keepNext w:val="0"/>
        <w:keepLines w:val="0"/>
        <w:pageBreakBefore w:val="0"/>
        <w:widowControl w:val="0"/>
        <w:kinsoku/>
        <w:wordWrap/>
        <w:overflowPunct/>
        <w:topLinePunct w:val="0"/>
        <w:autoSpaceDE/>
        <w:autoSpaceDN/>
        <w:bidi w:val="0"/>
        <w:adjustRightInd/>
        <w:snapToGrid/>
        <w:spacing w:after="0" w:line="360" w:lineRule="auto"/>
        <w:textAlignment w:val="auto"/>
        <w:rPr>
          <w:rFonts w:hint="eastAsia" w:ascii="宋体" w:hAnsi="宋体" w:eastAsia="宋体" w:cs="宋体"/>
          <w:b/>
          <w:bCs/>
          <w:sz w:val="28"/>
          <w:szCs w:val="28"/>
        </w:rPr>
      </w:pPr>
      <w:r>
        <w:rPr>
          <w:rFonts w:hint="eastAsia" w:ascii="宋体" w:hAnsi="宋体" w:eastAsia="宋体" w:cs="宋体"/>
          <w:b/>
          <w:bCs/>
          <w:sz w:val="28"/>
          <w:szCs w:val="28"/>
        </w:rPr>
        <w:t>磋商纪律</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为了加强政府采购的管理和监督，保证磋商工作严肃有序地进行，磋商小组成员、采购人及工作人员应共同遵照执行以下纪律：</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1.磋商小组成员如与磋商投标人有私人或经济关系的应当回避。</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2.磋商小组成员应当客观、公正的履行职责，遵守职业道德，对所提出的评审意见承担责任。</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3.磋商小组成员不得与任何磋商投标人或与采购结果有利害关系的人私下接触，不得收受磋商投标人、中介人及其它利害关系人的财物或其它好处。</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4.磋商小组成员和参与评审活动有关的工作人员不得透漏对磋商文件的评审和比较、成交候选人的推荐情况以及与评审有关的其它情况。不应将评审资料带出评审会场。</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5.为确保评审工作顺利进行，磋商小组全体成员应关闭通讯工具；在评审工作结束前，磋商小组全体成员不得单独行动。</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6.磋商小组不向落标方解释落标原因。</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textAlignment w:val="auto"/>
        <w:outlineLvl w:val="9"/>
        <w:rPr>
          <w:rFonts w:hint="eastAsia" w:ascii="宋体" w:hAnsi="宋体" w:eastAsia="宋体" w:cs="宋体"/>
          <w:b/>
          <w:bCs/>
          <w:sz w:val="24"/>
          <w:szCs w:val="24"/>
        </w:rPr>
      </w:pPr>
      <w:bookmarkStart w:id="955" w:name="_Toc27764"/>
      <w:r>
        <w:rPr>
          <w:rFonts w:hint="eastAsia" w:ascii="宋体" w:hAnsi="宋体" w:eastAsia="宋体" w:cs="宋体"/>
          <w:b/>
          <w:bCs/>
          <w:sz w:val="24"/>
          <w:szCs w:val="24"/>
        </w:rPr>
        <w:t>关于小微企业、监狱企业、残疾人福利性单位产品价格扣除</w:t>
      </w:r>
      <w:bookmarkEnd w:id="955"/>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按照《政府采购促进中小企业发展暂行办法》（财库[2020]46号）、《关于印发中小企业划型标准规定的通知》工信部联企业〔2011） 300号及《关于政府采购促进小型微型企业发展的实施意见》（豫财购[2013]14 号）、《财政部、司法部关于政府采购支持监狱企业发展有关问题的通知》</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（财库[2014]68号）、《三部门联合发布关于促进残疾人就业政府采购政策的通知》（财库〔2017）141号）的要求，对小型、微型企业、监狱企业、残疾人福利性单位产品的价格给予</w:t>
      </w:r>
      <w:r>
        <w:rPr>
          <w:rFonts w:hint="eastAsia" w:ascii="宋体" w:hAnsi="宋体" w:cs="宋体"/>
          <w:sz w:val="24"/>
          <w:szCs w:val="24"/>
          <w:lang w:val="en-US" w:eastAsia="zh-CN"/>
        </w:rPr>
        <w:t>2</w:t>
      </w:r>
      <w:r>
        <w:rPr>
          <w:rFonts w:hint="eastAsia" w:ascii="宋体" w:hAnsi="宋体" w:eastAsia="宋体" w:cs="宋体"/>
          <w:sz w:val="24"/>
          <w:szCs w:val="24"/>
        </w:rPr>
        <w:t>0% （工程项目为5%）的扣除，用扣除后的价格参加评审。适用招标投标法的政府采购工程建设项目，采用综合评估法但未采用低价优先法计算价格分的，评标时应当在采用原报价进行评分的基础上增加其价格得分的5%作为其价格分。</w:t>
      </w:r>
    </w:p>
    <w:p>
      <w:pPr>
        <w:keepNext w:val="0"/>
        <w:keepLines w:val="0"/>
        <w:pageBreakBefore w:val="0"/>
        <w:widowControl w:val="0"/>
        <w:kinsoku/>
        <w:wordWrap/>
        <w:overflowPunct/>
        <w:topLinePunct w:val="0"/>
        <w:autoSpaceDE/>
        <w:autoSpaceDN/>
        <w:bidi w:val="0"/>
        <w:adjustRightInd/>
        <w:snapToGrid/>
        <w:spacing w:after="0" w:line="360" w:lineRule="auto"/>
        <w:ind w:firstLine="482" w:firstLineChars="200"/>
        <w:jc w:val="left"/>
        <w:textAlignment w:val="auto"/>
        <w:rPr>
          <w:rFonts w:hint="eastAsia" w:ascii="宋体" w:hAnsi="宋体" w:eastAsia="宋体" w:cs="宋体"/>
          <w:b/>
          <w:bCs/>
          <w:sz w:val="24"/>
          <w:szCs w:val="24"/>
        </w:rPr>
      </w:pPr>
      <w:r>
        <w:rPr>
          <w:rFonts w:hint="eastAsia" w:ascii="宋体" w:hAnsi="宋体" w:eastAsia="宋体" w:cs="宋体"/>
          <w:b/>
          <w:bCs/>
          <w:sz w:val="24"/>
          <w:szCs w:val="24"/>
        </w:rPr>
        <w:t>本项目专门面向中小企业，无价格扣除</w:t>
      </w:r>
      <w:r>
        <w:rPr>
          <w:rFonts w:hint="eastAsia" w:ascii="宋体" w:hAnsi="宋体" w:eastAsia="宋体" w:cs="宋体"/>
          <w:b/>
          <w:bCs/>
          <w:sz w:val="24"/>
          <w:szCs w:val="24"/>
          <w:lang w:eastAsia="zh-CN"/>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rPr>
        <w:t>根据《节能产品政府采购实施意见》（财库〔2014）185号）的规定，投标产品如果是最新一期节能产品政府采购清单内的产品且在有效期内，优先予以采购。（响应文件中须提供有效的证明材料且加盖供应商公章，否则不予认可）</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根据财库〔2014）68号《财政部司法部关于政府采购支持监狱企业发</w:t>
      </w:r>
      <w:r>
        <w:rPr>
          <w:rFonts w:hint="eastAsia" w:ascii="宋体" w:hAnsi="宋体" w:eastAsia="宋体" w:cs="宋体"/>
          <w:sz w:val="24"/>
          <w:szCs w:val="24"/>
          <w:lang w:val="en-US" w:eastAsia="zh-CN"/>
        </w:rPr>
        <w:t>展</w:t>
      </w:r>
      <w:r>
        <w:rPr>
          <w:rFonts w:hint="eastAsia" w:ascii="宋体" w:hAnsi="宋体" w:eastAsia="宋体" w:cs="宋体"/>
          <w:sz w:val="24"/>
          <w:szCs w:val="24"/>
        </w:rPr>
        <w:t>有关问题的通知》，监狱企业视同小微企业。监狱企业是指由司法部认定的为罪犯、戒毒人员提供生产项目和劳动对象，且全部产权属于司法部监狱管理局、戒毒管理局、直属煤矿管理局，各省、自治区、直辖市监狱管理局、戒毒管理局，各地（设区的市）第10页监狱、强制隔离戒毒所、戒毒康复所, 以及新疆生产建设兵团监狱管理局、戒毒管理局的企业。监狱企业参加投标活动时，提供由省级以上监狱管理局、戒毒管理局（含新疆生产建设兵团）岀具的属于监狱企业的证明文件，不再提供《中小企业声明函》。</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textAlignment w:val="auto"/>
        <w:rPr>
          <w:rFonts w:hint="eastAsia" w:ascii="宋体" w:hAnsi="宋体" w:eastAsia="宋体" w:cs="宋体"/>
          <w:sz w:val="24"/>
          <w:szCs w:val="24"/>
        </w:rPr>
      </w:pPr>
    </w:p>
    <w:p>
      <w:pPr>
        <w:pageBreakBefore/>
        <w:spacing w:before="156" w:beforeLines="50" w:after="312" w:afterLines="100"/>
        <w:jc w:val="center"/>
        <w:outlineLvl w:val="0"/>
        <w:rPr>
          <w:rFonts w:hint="eastAsia" w:ascii="宋体" w:hAnsi="宋体" w:eastAsia="宋体" w:cs="宋体"/>
          <w:b/>
          <w:bCs/>
          <w:sz w:val="44"/>
          <w:szCs w:val="44"/>
        </w:rPr>
      </w:pPr>
      <w:bookmarkStart w:id="956" w:name="_Toc3921"/>
      <w:bookmarkStart w:id="957" w:name="_Toc9895"/>
      <w:bookmarkStart w:id="958" w:name="_Toc730"/>
      <w:r>
        <w:rPr>
          <w:rFonts w:hint="eastAsia" w:ascii="宋体" w:hAnsi="宋体" w:eastAsia="宋体" w:cs="宋体"/>
          <w:b/>
          <w:bCs/>
          <w:sz w:val="44"/>
          <w:szCs w:val="44"/>
        </w:rPr>
        <w:t>第六章</w:t>
      </w:r>
      <w:r>
        <w:rPr>
          <w:rFonts w:hint="eastAsia" w:ascii="宋体" w:hAnsi="宋体" w:eastAsia="宋体" w:cs="宋体"/>
          <w:b/>
          <w:bCs/>
          <w:sz w:val="44"/>
          <w:szCs w:val="44"/>
          <w:lang w:val="en-US" w:eastAsia="zh-CN"/>
        </w:rPr>
        <w:t xml:space="preserve"> </w:t>
      </w:r>
      <w:r>
        <w:rPr>
          <w:rFonts w:hint="eastAsia" w:ascii="宋体" w:hAnsi="宋体" w:eastAsia="宋体" w:cs="宋体"/>
          <w:b/>
          <w:bCs/>
          <w:sz w:val="44"/>
          <w:szCs w:val="44"/>
        </w:rPr>
        <w:t>响应文件格式</w:t>
      </w:r>
      <w:bookmarkEnd w:id="956"/>
      <w:bookmarkEnd w:id="957"/>
      <w:bookmarkEnd w:id="958"/>
    </w:p>
    <w:p>
      <w:pPr>
        <w:pStyle w:val="14"/>
        <w:rPr>
          <w:rFonts w:hint="eastAsia" w:ascii="宋体" w:hAnsi="宋体" w:eastAsia="宋体" w:cs="宋体"/>
        </w:rPr>
      </w:pPr>
    </w:p>
    <w:p>
      <w:pPr>
        <w:spacing w:line="480" w:lineRule="auto"/>
        <w:ind w:left="735" w:leftChars="350" w:firstLine="614" w:firstLineChars="192"/>
        <w:outlineLvl w:val="9"/>
        <w:rPr>
          <w:rFonts w:hint="eastAsia" w:ascii="宋体" w:hAnsi="宋体" w:eastAsia="宋体" w:cs="宋体"/>
          <w:sz w:val="32"/>
          <w:u w:val="single"/>
        </w:rPr>
      </w:pPr>
      <w:r>
        <w:rPr>
          <w:rFonts w:hint="eastAsia" w:ascii="宋体" w:hAnsi="宋体" w:eastAsia="宋体" w:cs="宋体"/>
          <w:sz w:val="32"/>
          <w:u w:val="single"/>
        </w:rPr>
        <w:t xml:space="preserve">             </w:t>
      </w:r>
      <w:r>
        <w:rPr>
          <w:rFonts w:hint="eastAsia" w:ascii="宋体" w:hAnsi="宋体" w:eastAsia="宋体" w:cs="宋体"/>
          <w:sz w:val="32"/>
          <w:u w:val="single"/>
          <w:lang w:val="en-US" w:eastAsia="zh-CN"/>
        </w:rPr>
        <w:t xml:space="preserve">         </w:t>
      </w:r>
      <w:r>
        <w:rPr>
          <w:rFonts w:hint="eastAsia" w:ascii="宋体" w:hAnsi="宋体" w:eastAsia="宋体" w:cs="宋体"/>
          <w:sz w:val="32"/>
          <w:u w:val="single"/>
        </w:rPr>
        <w:t xml:space="preserve">          </w:t>
      </w:r>
      <w:r>
        <w:rPr>
          <w:rFonts w:hint="eastAsia" w:ascii="宋体" w:hAnsi="宋体" w:eastAsia="宋体" w:cs="宋体"/>
          <w:sz w:val="32"/>
          <w:u w:val="none"/>
        </w:rPr>
        <w:t>（项目名称）</w:t>
      </w:r>
    </w:p>
    <w:p>
      <w:pPr>
        <w:pStyle w:val="13"/>
        <w:ind w:firstLine="0" w:firstLineChars="0"/>
        <w:jc w:val="center"/>
        <w:outlineLvl w:val="9"/>
        <w:rPr>
          <w:rFonts w:hint="eastAsia" w:ascii="宋体" w:hAnsi="宋体" w:eastAsia="宋体" w:cs="宋体"/>
          <w:b/>
          <w:sz w:val="72"/>
          <w:szCs w:val="72"/>
        </w:rPr>
      </w:pPr>
    </w:p>
    <w:p>
      <w:pPr>
        <w:pStyle w:val="13"/>
        <w:ind w:firstLine="0" w:firstLineChars="0"/>
        <w:jc w:val="center"/>
        <w:outlineLvl w:val="9"/>
        <w:rPr>
          <w:rFonts w:hint="eastAsia" w:ascii="宋体" w:hAnsi="宋体" w:eastAsia="宋体" w:cs="宋体"/>
          <w:b/>
          <w:sz w:val="72"/>
          <w:szCs w:val="72"/>
        </w:rPr>
      </w:pPr>
    </w:p>
    <w:p>
      <w:pPr>
        <w:pStyle w:val="13"/>
        <w:ind w:firstLine="0" w:firstLineChars="0"/>
        <w:jc w:val="center"/>
        <w:outlineLvl w:val="9"/>
        <w:rPr>
          <w:rFonts w:hint="eastAsia" w:ascii="宋体" w:hAnsi="宋体" w:eastAsia="宋体" w:cs="宋体"/>
          <w:b/>
          <w:sz w:val="56"/>
          <w:szCs w:val="56"/>
        </w:rPr>
      </w:pPr>
      <w:r>
        <w:rPr>
          <w:rFonts w:hint="eastAsia" w:ascii="宋体" w:hAnsi="宋体" w:eastAsia="宋体" w:cs="宋体"/>
          <w:b/>
          <w:sz w:val="72"/>
          <w:szCs w:val="72"/>
        </w:rPr>
        <w:t>响应文件</w:t>
      </w:r>
    </w:p>
    <w:p>
      <w:pPr>
        <w:ind w:firstLine="2811" w:firstLineChars="1000"/>
        <w:jc w:val="both"/>
        <w:outlineLvl w:val="9"/>
        <w:rPr>
          <w:rFonts w:hint="eastAsia" w:ascii="宋体" w:hAnsi="宋体" w:eastAsia="宋体" w:cs="宋体"/>
          <w:b/>
          <w:sz w:val="28"/>
          <w:szCs w:val="28"/>
        </w:rPr>
      </w:pPr>
      <w:r>
        <w:rPr>
          <w:rFonts w:hint="eastAsia" w:ascii="宋体" w:hAnsi="宋体" w:eastAsia="宋体" w:cs="宋体"/>
          <w:b/>
          <w:sz w:val="28"/>
          <w:szCs w:val="28"/>
          <w:lang w:val="en-US" w:eastAsia="zh-CN"/>
        </w:rPr>
        <w:t>采购编号</w:t>
      </w:r>
      <w:r>
        <w:rPr>
          <w:rFonts w:hint="eastAsia" w:ascii="宋体" w:hAnsi="宋体" w:eastAsia="宋体" w:cs="宋体"/>
          <w:b/>
          <w:sz w:val="28"/>
          <w:szCs w:val="28"/>
        </w:rPr>
        <w:t>：</w:t>
      </w:r>
    </w:p>
    <w:p>
      <w:pPr>
        <w:jc w:val="center"/>
        <w:outlineLvl w:val="9"/>
        <w:rPr>
          <w:rFonts w:hint="eastAsia" w:ascii="宋体" w:hAnsi="宋体" w:eastAsia="宋体" w:cs="宋体"/>
          <w:b/>
          <w:sz w:val="28"/>
          <w:szCs w:val="28"/>
        </w:rPr>
      </w:pPr>
    </w:p>
    <w:p>
      <w:pPr>
        <w:pStyle w:val="13"/>
        <w:ind w:firstLine="1048" w:firstLineChars="348"/>
        <w:outlineLvl w:val="9"/>
        <w:rPr>
          <w:rFonts w:hint="eastAsia" w:ascii="宋体" w:hAnsi="宋体" w:eastAsia="宋体" w:cs="宋体"/>
          <w:b/>
          <w:sz w:val="30"/>
          <w:szCs w:val="30"/>
        </w:rPr>
      </w:pPr>
    </w:p>
    <w:p>
      <w:pPr>
        <w:pStyle w:val="13"/>
        <w:ind w:firstLine="1048" w:firstLineChars="348"/>
        <w:outlineLvl w:val="9"/>
        <w:rPr>
          <w:rFonts w:hint="eastAsia" w:ascii="宋体" w:hAnsi="宋体" w:eastAsia="宋体" w:cs="宋体"/>
          <w:b/>
          <w:sz w:val="30"/>
          <w:szCs w:val="30"/>
        </w:rPr>
      </w:pPr>
    </w:p>
    <w:p>
      <w:pPr>
        <w:pStyle w:val="13"/>
        <w:ind w:firstLine="1048" w:firstLineChars="348"/>
        <w:outlineLvl w:val="9"/>
        <w:rPr>
          <w:rFonts w:hint="eastAsia" w:ascii="宋体" w:hAnsi="宋体" w:eastAsia="宋体" w:cs="宋体"/>
          <w:b/>
          <w:sz w:val="30"/>
          <w:szCs w:val="30"/>
        </w:rPr>
      </w:pPr>
    </w:p>
    <w:p>
      <w:pPr>
        <w:pStyle w:val="13"/>
        <w:ind w:firstLine="1048" w:firstLineChars="348"/>
        <w:outlineLvl w:val="9"/>
        <w:rPr>
          <w:rFonts w:hint="eastAsia" w:ascii="宋体" w:hAnsi="宋体" w:eastAsia="宋体" w:cs="宋体"/>
          <w:b/>
          <w:sz w:val="30"/>
          <w:szCs w:val="30"/>
        </w:rPr>
      </w:pPr>
    </w:p>
    <w:p>
      <w:pPr>
        <w:pStyle w:val="13"/>
        <w:ind w:firstLine="1048" w:firstLineChars="348"/>
        <w:outlineLvl w:val="9"/>
        <w:rPr>
          <w:rFonts w:hint="eastAsia" w:ascii="宋体" w:hAnsi="宋体" w:eastAsia="宋体" w:cs="宋体"/>
          <w:b/>
          <w:sz w:val="30"/>
          <w:szCs w:val="30"/>
        </w:rPr>
      </w:pPr>
    </w:p>
    <w:p>
      <w:pPr>
        <w:spacing w:line="500" w:lineRule="exact"/>
        <w:ind w:firstLine="700" w:firstLineChars="250"/>
        <w:jc w:val="center"/>
        <w:outlineLvl w:val="9"/>
        <w:rPr>
          <w:rFonts w:hint="eastAsia" w:ascii="宋体" w:hAnsi="宋体" w:eastAsia="宋体" w:cs="宋体"/>
          <w:sz w:val="28"/>
          <w:szCs w:val="28"/>
        </w:rPr>
      </w:pPr>
      <w:bookmarkStart w:id="959" w:name="_Toc409627469"/>
      <w:bookmarkStart w:id="960" w:name="_Toc446254761"/>
      <w:bookmarkStart w:id="961" w:name="_Toc380758974"/>
      <w:bookmarkStart w:id="962" w:name="_Toc396673353"/>
      <w:bookmarkStart w:id="963" w:name="_Toc421698823"/>
      <w:bookmarkStart w:id="964" w:name="_Toc435864414"/>
      <w:r>
        <w:rPr>
          <w:rFonts w:hint="eastAsia" w:ascii="宋体" w:hAnsi="宋体" w:eastAsia="宋体" w:cs="宋体"/>
          <w:sz w:val="28"/>
          <w:szCs w:val="28"/>
        </w:rPr>
        <w:t>投标人：</w:t>
      </w:r>
      <w:r>
        <w:rPr>
          <w:rFonts w:hint="eastAsia" w:ascii="宋体" w:hAnsi="宋体" w:eastAsia="宋体" w:cs="宋体"/>
          <w:sz w:val="28"/>
          <w:szCs w:val="28"/>
          <w:u w:val="single"/>
        </w:rPr>
        <w:t xml:space="preserve">                            </w:t>
      </w:r>
      <w:r>
        <w:rPr>
          <w:rFonts w:hint="eastAsia" w:ascii="宋体" w:hAnsi="宋体" w:eastAsia="宋体" w:cs="宋体"/>
          <w:sz w:val="28"/>
          <w:szCs w:val="28"/>
        </w:rPr>
        <w:t>(单位盖章)</w:t>
      </w:r>
    </w:p>
    <w:p>
      <w:pPr>
        <w:spacing w:line="500" w:lineRule="exact"/>
        <w:ind w:firstLine="700" w:firstLineChars="250"/>
        <w:jc w:val="center"/>
        <w:outlineLvl w:val="9"/>
        <w:rPr>
          <w:rFonts w:hint="eastAsia" w:ascii="宋体" w:hAnsi="宋体" w:eastAsia="宋体" w:cs="宋体"/>
          <w:sz w:val="28"/>
          <w:szCs w:val="28"/>
        </w:rPr>
      </w:pPr>
      <w:r>
        <w:rPr>
          <w:rFonts w:hint="eastAsia" w:ascii="宋体" w:hAnsi="宋体" w:eastAsia="宋体" w:cs="宋体"/>
          <w:sz w:val="28"/>
          <w:szCs w:val="28"/>
        </w:rPr>
        <w:t>法定代表人或授权委托人：</w:t>
      </w:r>
      <w:r>
        <w:rPr>
          <w:rFonts w:hint="eastAsia" w:ascii="宋体" w:hAnsi="宋体" w:eastAsia="宋体" w:cs="宋体"/>
          <w:sz w:val="28"/>
          <w:szCs w:val="28"/>
          <w:u w:val="single"/>
        </w:rPr>
        <w:t xml:space="preserve">         </w:t>
      </w:r>
      <w:r>
        <w:rPr>
          <w:rFonts w:hint="eastAsia" w:ascii="宋体" w:hAnsi="宋体" w:eastAsia="宋体" w:cs="宋体"/>
          <w:sz w:val="28"/>
          <w:szCs w:val="28"/>
        </w:rPr>
        <w:t xml:space="preserve"> (签字或盖章)</w:t>
      </w:r>
    </w:p>
    <w:p>
      <w:pPr>
        <w:spacing w:line="500" w:lineRule="exact"/>
        <w:ind w:firstLine="700" w:firstLineChars="250"/>
        <w:jc w:val="center"/>
        <w:outlineLvl w:val="9"/>
        <w:rPr>
          <w:rFonts w:hint="eastAsia" w:ascii="宋体" w:hAnsi="宋体" w:eastAsia="宋体" w:cs="宋体"/>
          <w:sz w:val="28"/>
          <w:szCs w:val="28"/>
        </w:rPr>
      </w:pPr>
      <w:r>
        <w:rPr>
          <w:rFonts w:hint="eastAsia" w:ascii="宋体" w:hAnsi="宋体" w:eastAsia="宋体" w:cs="宋体"/>
          <w:sz w:val="28"/>
          <w:szCs w:val="28"/>
          <w:u w:val="single"/>
        </w:rPr>
        <w:t xml:space="preserve">        </w:t>
      </w:r>
      <w:r>
        <w:rPr>
          <w:rFonts w:hint="eastAsia" w:ascii="宋体" w:hAnsi="宋体" w:eastAsia="宋体" w:cs="宋体"/>
          <w:sz w:val="28"/>
          <w:szCs w:val="28"/>
        </w:rPr>
        <w:t>年</w:t>
      </w:r>
      <w:r>
        <w:rPr>
          <w:rFonts w:hint="eastAsia" w:ascii="宋体" w:hAnsi="宋体" w:eastAsia="宋体" w:cs="宋体"/>
          <w:sz w:val="28"/>
          <w:szCs w:val="28"/>
          <w:u w:val="single"/>
        </w:rPr>
        <w:t xml:space="preserve">      </w:t>
      </w:r>
      <w:r>
        <w:rPr>
          <w:rFonts w:hint="eastAsia" w:ascii="宋体" w:hAnsi="宋体" w:eastAsia="宋体" w:cs="宋体"/>
          <w:sz w:val="28"/>
          <w:szCs w:val="28"/>
        </w:rPr>
        <w:t>月</w:t>
      </w:r>
      <w:r>
        <w:rPr>
          <w:rFonts w:hint="eastAsia" w:ascii="宋体" w:hAnsi="宋体" w:eastAsia="宋体" w:cs="宋体"/>
          <w:sz w:val="28"/>
          <w:szCs w:val="28"/>
          <w:u w:val="single"/>
        </w:rPr>
        <w:t xml:space="preserve">      </w:t>
      </w:r>
      <w:r>
        <w:rPr>
          <w:rFonts w:hint="eastAsia" w:ascii="宋体" w:hAnsi="宋体" w:eastAsia="宋体" w:cs="宋体"/>
          <w:sz w:val="28"/>
          <w:szCs w:val="28"/>
        </w:rPr>
        <w:t>日</w:t>
      </w:r>
    </w:p>
    <w:bookmarkEnd w:id="959"/>
    <w:bookmarkEnd w:id="960"/>
    <w:bookmarkEnd w:id="961"/>
    <w:bookmarkEnd w:id="962"/>
    <w:bookmarkEnd w:id="963"/>
    <w:bookmarkEnd w:id="964"/>
    <w:p>
      <w:pPr>
        <w:keepNext w:val="0"/>
        <w:keepLines w:val="0"/>
        <w:pageBreakBefore/>
        <w:widowControl w:val="0"/>
        <w:kinsoku/>
        <w:wordWrap/>
        <w:overflowPunct/>
        <w:topLinePunct w:val="0"/>
        <w:autoSpaceDE/>
        <w:autoSpaceDN/>
        <w:bidi w:val="0"/>
        <w:adjustRightInd/>
        <w:snapToGrid/>
        <w:spacing w:line="413" w:lineRule="auto"/>
        <w:jc w:val="center"/>
        <w:textAlignment w:val="auto"/>
        <w:outlineLvl w:val="9"/>
        <w:rPr>
          <w:rFonts w:hint="eastAsia" w:ascii="宋体" w:hAnsi="宋体" w:eastAsia="宋体" w:cs="宋体"/>
          <w:sz w:val="44"/>
          <w:szCs w:val="44"/>
        </w:rPr>
      </w:pPr>
      <w:r>
        <w:rPr>
          <w:rFonts w:hint="eastAsia" w:ascii="宋体" w:hAnsi="宋体" w:eastAsia="宋体" w:cs="宋体"/>
          <w:sz w:val="44"/>
          <w:szCs w:val="44"/>
        </w:rPr>
        <w:t>目 录</w:t>
      </w:r>
    </w:p>
    <w:p>
      <w:pPr>
        <w:spacing w:line="600" w:lineRule="exact"/>
        <w:ind w:firstLine="1280" w:firstLineChars="425"/>
        <w:outlineLvl w:val="9"/>
        <w:rPr>
          <w:rFonts w:hint="eastAsia" w:ascii="宋体" w:hAnsi="宋体" w:eastAsia="宋体" w:cs="宋体"/>
          <w:b/>
          <w:bCs/>
          <w:sz w:val="30"/>
          <w:szCs w:val="30"/>
        </w:rPr>
      </w:pPr>
      <w:r>
        <w:rPr>
          <w:rFonts w:hint="eastAsia" w:ascii="宋体" w:hAnsi="宋体" w:eastAsia="宋体" w:cs="宋体"/>
          <w:b/>
          <w:bCs/>
          <w:sz w:val="30"/>
          <w:szCs w:val="30"/>
        </w:rPr>
        <w:t>一、第一次报价一览表</w:t>
      </w:r>
    </w:p>
    <w:p>
      <w:pPr>
        <w:spacing w:line="600" w:lineRule="exact"/>
        <w:ind w:firstLine="1280" w:firstLineChars="425"/>
        <w:outlineLvl w:val="9"/>
        <w:rPr>
          <w:rFonts w:hint="eastAsia" w:ascii="宋体" w:hAnsi="宋体" w:eastAsia="宋体" w:cs="宋体"/>
          <w:b/>
          <w:bCs/>
          <w:sz w:val="30"/>
          <w:szCs w:val="30"/>
        </w:rPr>
      </w:pPr>
      <w:r>
        <w:rPr>
          <w:rFonts w:hint="eastAsia" w:ascii="宋体" w:hAnsi="宋体" w:eastAsia="宋体" w:cs="宋体"/>
          <w:b/>
          <w:bCs/>
          <w:sz w:val="30"/>
          <w:szCs w:val="30"/>
        </w:rPr>
        <w:t>二、法定代表人身份证明或授权委托书</w:t>
      </w:r>
    </w:p>
    <w:p>
      <w:pPr>
        <w:spacing w:line="600" w:lineRule="exact"/>
        <w:ind w:firstLine="1280" w:firstLineChars="425"/>
        <w:outlineLvl w:val="9"/>
        <w:rPr>
          <w:rFonts w:hint="eastAsia" w:ascii="宋体" w:hAnsi="宋体" w:eastAsia="宋体" w:cs="宋体"/>
          <w:b/>
          <w:bCs/>
          <w:sz w:val="30"/>
          <w:szCs w:val="30"/>
        </w:rPr>
      </w:pPr>
      <w:r>
        <w:rPr>
          <w:rFonts w:hint="eastAsia" w:ascii="宋体" w:hAnsi="宋体" w:eastAsia="宋体" w:cs="宋体"/>
          <w:b/>
          <w:bCs/>
          <w:sz w:val="30"/>
          <w:szCs w:val="30"/>
        </w:rPr>
        <w:t>三、已标价工程量清单</w:t>
      </w:r>
    </w:p>
    <w:p>
      <w:pPr>
        <w:spacing w:line="600" w:lineRule="exact"/>
        <w:ind w:firstLine="1280" w:firstLineChars="425"/>
        <w:outlineLvl w:val="9"/>
        <w:rPr>
          <w:rFonts w:hint="eastAsia" w:ascii="宋体" w:hAnsi="宋体" w:eastAsia="宋体" w:cs="宋体"/>
          <w:b/>
          <w:bCs/>
          <w:sz w:val="30"/>
          <w:szCs w:val="30"/>
        </w:rPr>
      </w:pPr>
      <w:r>
        <w:rPr>
          <w:rFonts w:hint="eastAsia" w:ascii="宋体" w:hAnsi="宋体" w:eastAsia="宋体" w:cs="宋体"/>
          <w:b/>
          <w:bCs/>
          <w:sz w:val="30"/>
          <w:szCs w:val="30"/>
        </w:rPr>
        <w:t>四、施工组织设计</w:t>
      </w:r>
    </w:p>
    <w:p>
      <w:pPr>
        <w:spacing w:line="600" w:lineRule="exact"/>
        <w:ind w:firstLine="1280" w:firstLineChars="425"/>
        <w:outlineLvl w:val="9"/>
        <w:rPr>
          <w:rFonts w:hint="eastAsia" w:ascii="宋体" w:hAnsi="宋体" w:eastAsia="宋体" w:cs="宋体"/>
          <w:b/>
          <w:bCs/>
          <w:sz w:val="30"/>
          <w:szCs w:val="30"/>
        </w:rPr>
      </w:pPr>
      <w:r>
        <w:rPr>
          <w:rFonts w:hint="eastAsia" w:ascii="宋体" w:hAnsi="宋体" w:eastAsia="宋体" w:cs="宋体"/>
          <w:b/>
          <w:bCs/>
          <w:sz w:val="30"/>
          <w:szCs w:val="30"/>
        </w:rPr>
        <w:t>五、资格审查资料</w:t>
      </w:r>
    </w:p>
    <w:p>
      <w:pPr>
        <w:spacing w:line="600" w:lineRule="exact"/>
        <w:ind w:firstLine="1280" w:firstLineChars="425"/>
        <w:outlineLvl w:val="9"/>
        <w:rPr>
          <w:rFonts w:hint="eastAsia" w:ascii="宋体" w:hAnsi="宋体" w:eastAsia="宋体" w:cs="宋体"/>
        </w:rPr>
      </w:pPr>
      <w:r>
        <w:rPr>
          <w:rFonts w:hint="eastAsia" w:ascii="宋体" w:hAnsi="宋体" w:eastAsia="宋体" w:cs="宋体"/>
          <w:b/>
          <w:bCs/>
          <w:sz w:val="30"/>
          <w:szCs w:val="30"/>
        </w:rPr>
        <w:t>六、其它材料</w:t>
      </w:r>
    </w:p>
    <w:p>
      <w:pPr>
        <w:keepNext w:val="0"/>
        <w:keepLines w:val="0"/>
        <w:pageBreakBefore/>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sz w:val="32"/>
          <w:szCs w:val="32"/>
        </w:rPr>
      </w:pPr>
      <w:bookmarkStart w:id="965" w:name="_Toc364091844"/>
      <w:r>
        <w:rPr>
          <w:rFonts w:hint="eastAsia" w:ascii="宋体" w:hAnsi="宋体" w:eastAsia="宋体" w:cs="宋体"/>
          <w:b/>
          <w:bCs/>
          <w:sz w:val="32"/>
          <w:szCs w:val="32"/>
          <w:lang w:val="en-US" w:eastAsia="zh-CN"/>
        </w:rPr>
        <w:t>一、</w:t>
      </w:r>
      <w:r>
        <w:rPr>
          <w:rFonts w:hint="eastAsia" w:ascii="宋体" w:hAnsi="宋体" w:eastAsia="宋体" w:cs="宋体"/>
          <w:b/>
          <w:bCs/>
          <w:sz w:val="32"/>
          <w:szCs w:val="32"/>
        </w:rPr>
        <w:t>第一次报价一览表</w:t>
      </w:r>
    </w:p>
    <w:p>
      <w:pPr>
        <w:pStyle w:val="52"/>
        <w:outlineLvl w:val="9"/>
        <w:rPr>
          <w:rFonts w:hint="eastAsia" w:ascii="宋体" w:hAnsi="宋体" w:eastAsia="宋体" w:cs="宋体"/>
        </w:rPr>
      </w:pPr>
    </w:p>
    <w:tbl>
      <w:tblPr>
        <w:tblStyle w:val="36"/>
        <w:tblW w:w="9253"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08"/>
        <w:gridCol w:w="1409"/>
        <w:gridCol w:w="1409"/>
        <w:gridCol w:w="1409"/>
        <w:gridCol w:w="1409"/>
        <w:gridCol w:w="1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2208" w:type="dxa"/>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项目名称</w:t>
            </w:r>
          </w:p>
        </w:tc>
        <w:tc>
          <w:tcPr>
            <w:tcW w:w="7045" w:type="dxa"/>
            <w:gridSpan w:val="5"/>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trPr>
        <w:tc>
          <w:tcPr>
            <w:tcW w:w="2208" w:type="dxa"/>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投标</w:t>
            </w:r>
            <w:r>
              <w:rPr>
                <w:rFonts w:hint="eastAsia" w:ascii="宋体" w:hAnsi="宋体" w:eastAsia="宋体" w:cs="宋体"/>
                <w:sz w:val="24"/>
                <w:szCs w:val="24"/>
                <w:lang w:val="en-US" w:eastAsia="zh-CN"/>
              </w:rPr>
              <w:t>总</w:t>
            </w:r>
            <w:r>
              <w:rPr>
                <w:rFonts w:hint="eastAsia" w:ascii="宋体" w:hAnsi="宋体" w:eastAsia="宋体" w:cs="宋体"/>
                <w:sz w:val="24"/>
                <w:szCs w:val="24"/>
              </w:rPr>
              <w:t>报价</w:t>
            </w:r>
          </w:p>
        </w:tc>
        <w:tc>
          <w:tcPr>
            <w:tcW w:w="7045" w:type="dxa"/>
            <w:gridSpan w:val="5"/>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大写：</w:t>
            </w:r>
            <w:r>
              <w:rPr>
                <w:rFonts w:hint="eastAsia" w:ascii="宋体" w:hAnsi="宋体" w:eastAsia="宋体" w:cs="宋体"/>
                <w:sz w:val="24"/>
                <w:szCs w:val="24"/>
                <w:u w:val="single"/>
              </w:rPr>
              <w:t xml:space="preserve">      </w:t>
            </w:r>
            <w:r>
              <w:rPr>
                <w:rFonts w:hint="eastAsia" w:ascii="宋体" w:hAnsi="宋体" w:eastAsia="宋体" w:cs="宋体"/>
                <w:sz w:val="24"/>
                <w:szCs w:val="24"/>
              </w:rPr>
              <w:t>元； 小写：</w:t>
            </w:r>
            <w:r>
              <w:rPr>
                <w:rFonts w:hint="eastAsia" w:ascii="宋体" w:hAnsi="宋体" w:eastAsia="宋体" w:cs="宋体"/>
                <w:sz w:val="24"/>
                <w:szCs w:val="24"/>
                <w:u w:val="single"/>
              </w:rPr>
              <w:t xml:space="preserve">      </w:t>
            </w:r>
            <w:r>
              <w:rPr>
                <w:rFonts w:hint="eastAsia" w:ascii="宋体" w:hAnsi="宋体" w:eastAsia="宋体" w:cs="宋体"/>
                <w:sz w:val="24"/>
                <w:szCs w:val="24"/>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2208" w:type="dxa"/>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项目经理</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p>
        </w:tc>
        <w:tc>
          <w:tcPr>
            <w:tcW w:w="1409" w:type="dxa"/>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级别</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p>
        </w:tc>
        <w:tc>
          <w:tcPr>
            <w:tcW w:w="1409" w:type="dxa"/>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注册编号</w:t>
            </w:r>
          </w:p>
        </w:tc>
        <w:tc>
          <w:tcPr>
            <w:tcW w:w="1409" w:type="dxa"/>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2208" w:type="dxa"/>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投标范围</w:t>
            </w:r>
          </w:p>
        </w:tc>
        <w:tc>
          <w:tcPr>
            <w:tcW w:w="7045" w:type="dxa"/>
            <w:gridSpan w:val="5"/>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2208" w:type="dxa"/>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工期</w:t>
            </w:r>
          </w:p>
        </w:tc>
        <w:tc>
          <w:tcPr>
            <w:tcW w:w="7045" w:type="dxa"/>
            <w:gridSpan w:val="5"/>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2208" w:type="dxa"/>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质量</w:t>
            </w:r>
          </w:p>
        </w:tc>
        <w:tc>
          <w:tcPr>
            <w:tcW w:w="7045" w:type="dxa"/>
            <w:gridSpan w:val="5"/>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2208" w:type="dxa"/>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投标有效期</w:t>
            </w:r>
          </w:p>
        </w:tc>
        <w:tc>
          <w:tcPr>
            <w:tcW w:w="7045" w:type="dxa"/>
            <w:gridSpan w:val="5"/>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2208" w:type="dxa"/>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其它</w:t>
            </w:r>
          </w:p>
        </w:tc>
        <w:tc>
          <w:tcPr>
            <w:tcW w:w="7045" w:type="dxa"/>
            <w:gridSpan w:val="5"/>
            <w:vAlign w:val="center"/>
          </w:tcPr>
          <w:p>
            <w:pPr>
              <w:keepNext w:val="0"/>
              <w:keepLines w:val="0"/>
              <w:pageBreakBefore w:val="0"/>
              <w:widowControl w:val="0"/>
              <w:kinsoku/>
              <w:wordWrap/>
              <w:overflowPunct/>
              <w:topLinePunct w:val="0"/>
              <w:autoSpaceDE/>
              <w:autoSpaceDN/>
              <w:bidi w:val="0"/>
              <w:adjustRightInd/>
              <w:snapToGrid/>
              <w:spacing w:after="0"/>
              <w:jc w:val="center"/>
              <w:textAlignment w:val="auto"/>
              <w:outlineLvl w:val="9"/>
              <w:rPr>
                <w:rFonts w:hint="eastAsia" w:ascii="宋体" w:hAnsi="宋体" w:eastAsia="宋体" w:cs="宋体"/>
                <w:sz w:val="24"/>
                <w:szCs w:val="24"/>
              </w:rPr>
            </w:pPr>
          </w:p>
        </w:tc>
      </w:tr>
    </w:tbl>
    <w:p>
      <w:pPr>
        <w:outlineLvl w:val="9"/>
        <w:rPr>
          <w:rFonts w:hint="eastAsia" w:ascii="宋体" w:hAnsi="宋体" w:eastAsia="宋体" w:cs="宋体"/>
          <w:sz w:val="24"/>
          <w:szCs w:val="24"/>
        </w:rPr>
      </w:pPr>
    </w:p>
    <w:p>
      <w:pPr>
        <w:outlineLvl w:val="9"/>
        <w:rPr>
          <w:rFonts w:hint="eastAsia" w:ascii="宋体" w:hAnsi="宋体" w:eastAsia="宋体" w:cs="宋体"/>
          <w:sz w:val="24"/>
          <w:szCs w:val="24"/>
        </w:rPr>
      </w:pPr>
    </w:p>
    <w:p>
      <w:pPr>
        <w:outlineLvl w:val="9"/>
        <w:rPr>
          <w:rFonts w:hint="eastAsia" w:ascii="宋体" w:hAnsi="宋体" w:eastAsia="宋体" w:cs="宋体"/>
          <w:sz w:val="24"/>
          <w:szCs w:val="24"/>
        </w:rPr>
      </w:pPr>
    </w:p>
    <w:p>
      <w:pPr>
        <w:outlineLvl w:val="9"/>
        <w:rPr>
          <w:rFonts w:hint="eastAsia" w:ascii="宋体" w:hAnsi="宋体" w:eastAsia="宋体" w:cs="宋体"/>
          <w:sz w:val="24"/>
          <w:szCs w:val="24"/>
        </w:rPr>
      </w:pPr>
      <w:r>
        <w:rPr>
          <w:rFonts w:hint="eastAsia" w:ascii="宋体" w:hAnsi="宋体" w:eastAsia="宋体" w:cs="宋体"/>
          <w:sz w:val="24"/>
          <w:szCs w:val="24"/>
        </w:rPr>
        <w:t>投标人(盖章)：</w:t>
      </w:r>
    </w:p>
    <w:p>
      <w:pPr>
        <w:outlineLvl w:val="9"/>
        <w:rPr>
          <w:rFonts w:hint="eastAsia" w:ascii="宋体" w:hAnsi="宋体" w:eastAsia="宋体" w:cs="宋体"/>
          <w:sz w:val="24"/>
          <w:szCs w:val="24"/>
        </w:rPr>
      </w:pPr>
      <w:r>
        <w:rPr>
          <w:rFonts w:hint="eastAsia" w:ascii="宋体" w:hAnsi="宋体" w:eastAsia="宋体" w:cs="宋体"/>
          <w:sz w:val="24"/>
          <w:szCs w:val="24"/>
        </w:rPr>
        <w:t xml:space="preserve">法定代表人或委托代理人(签字或盖章)：   </w:t>
      </w:r>
    </w:p>
    <w:p>
      <w:pPr>
        <w:outlineLvl w:val="9"/>
        <w:rPr>
          <w:rFonts w:hint="eastAsia" w:ascii="宋体" w:hAnsi="宋体" w:eastAsia="宋体" w:cs="宋体"/>
          <w:sz w:val="24"/>
          <w:szCs w:val="24"/>
        </w:rPr>
      </w:pPr>
      <w:r>
        <w:rPr>
          <w:rFonts w:hint="eastAsia" w:ascii="宋体" w:hAnsi="宋体" w:eastAsia="宋体" w:cs="宋体"/>
          <w:sz w:val="24"/>
          <w:szCs w:val="24"/>
        </w:rPr>
        <w:t xml:space="preserve">         </w:t>
      </w:r>
    </w:p>
    <w:p>
      <w:pPr>
        <w:outlineLvl w:val="9"/>
        <w:rPr>
          <w:rFonts w:hint="eastAsia" w:ascii="宋体" w:hAnsi="宋体" w:eastAsia="宋体" w:cs="宋体"/>
          <w:sz w:val="24"/>
          <w:szCs w:val="24"/>
        </w:rPr>
      </w:pPr>
      <w:r>
        <w:rPr>
          <w:rFonts w:hint="eastAsia" w:ascii="宋体" w:hAnsi="宋体" w:eastAsia="宋体" w:cs="宋体"/>
          <w:sz w:val="24"/>
          <w:szCs w:val="24"/>
        </w:rPr>
        <w:t xml:space="preserve">                                          年     月    日</w:t>
      </w:r>
    </w:p>
    <w:p>
      <w:pPr>
        <w:keepNext w:val="0"/>
        <w:keepLines w:val="0"/>
        <w:pageBreakBefore/>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sz w:val="32"/>
          <w:szCs w:val="32"/>
        </w:rPr>
      </w:pPr>
      <w:bookmarkStart w:id="966" w:name="_Toc125516296"/>
      <w:bookmarkStart w:id="967" w:name="_Toc125516051"/>
      <w:bookmarkStart w:id="968" w:name="_Toc97467175"/>
      <w:bookmarkStart w:id="969" w:name="_Toc122148923"/>
      <w:bookmarkStart w:id="970" w:name="_Toc133403313"/>
      <w:r>
        <w:rPr>
          <w:rFonts w:hint="eastAsia" w:ascii="宋体" w:hAnsi="宋体" w:eastAsia="宋体" w:cs="宋体"/>
          <w:b/>
          <w:bCs/>
          <w:sz w:val="32"/>
          <w:szCs w:val="32"/>
        </w:rPr>
        <w:t>二、法定代表人身份证明或授权委托书</w:t>
      </w:r>
    </w:p>
    <w:p>
      <w:pPr>
        <w:jc w:val="center"/>
        <w:outlineLvl w:val="9"/>
        <w:rPr>
          <w:rFonts w:hint="eastAsia" w:ascii="宋体" w:hAnsi="宋体" w:eastAsia="宋体" w:cs="宋体"/>
          <w:sz w:val="30"/>
          <w:szCs w:val="30"/>
        </w:rPr>
      </w:pPr>
      <w:r>
        <w:rPr>
          <w:rFonts w:hint="eastAsia" w:ascii="宋体" w:hAnsi="宋体" w:eastAsia="宋体" w:cs="宋体"/>
          <w:sz w:val="30"/>
          <w:szCs w:val="30"/>
        </w:rPr>
        <w:t>（一）法定代表人身份证明</w:t>
      </w:r>
    </w:p>
    <w:p>
      <w:pPr>
        <w:spacing w:line="440" w:lineRule="exact"/>
        <w:outlineLvl w:val="9"/>
        <w:rPr>
          <w:rFonts w:hint="eastAsia" w:ascii="宋体" w:hAnsi="宋体" w:eastAsia="宋体" w:cs="宋体"/>
        </w:rPr>
      </w:pPr>
    </w:p>
    <w:p>
      <w:pPr>
        <w:spacing w:line="440" w:lineRule="exact"/>
        <w:outlineLvl w:val="9"/>
        <w:rPr>
          <w:rFonts w:hint="eastAsia" w:ascii="宋体" w:hAnsi="宋体" w:eastAsia="宋体" w:cs="宋体"/>
          <w:sz w:val="24"/>
          <w:szCs w:val="24"/>
        </w:rPr>
      </w:pPr>
      <w:r>
        <w:rPr>
          <w:rFonts w:hint="eastAsia" w:ascii="宋体" w:hAnsi="宋体" w:eastAsia="宋体" w:cs="宋体"/>
          <w:sz w:val="24"/>
          <w:szCs w:val="24"/>
        </w:rPr>
        <w:t xml:space="preserve">投标人名称： </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440" w:lineRule="exact"/>
        <w:outlineLvl w:val="9"/>
        <w:rPr>
          <w:rFonts w:hint="eastAsia" w:ascii="宋体" w:hAnsi="宋体" w:eastAsia="宋体" w:cs="宋体"/>
          <w:sz w:val="24"/>
          <w:szCs w:val="24"/>
        </w:rPr>
      </w:pPr>
      <w:r>
        <w:rPr>
          <w:rFonts w:hint="eastAsia" w:ascii="宋体" w:hAnsi="宋体" w:eastAsia="宋体" w:cs="宋体"/>
          <w:sz w:val="24"/>
          <w:szCs w:val="24"/>
        </w:rPr>
        <w:t>单位性质：</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w:t>
      </w:r>
    </w:p>
    <w:p>
      <w:pPr>
        <w:spacing w:line="440" w:lineRule="exact"/>
        <w:outlineLvl w:val="9"/>
        <w:rPr>
          <w:rFonts w:hint="eastAsia" w:ascii="宋体" w:hAnsi="宋体" w:eastAsia="宋体" w:cs="宋体"/>
          <w:sz w:val="24"/>
          <w:szCs w:val="24"/>
        </w:rPr>
      </w:pPr>
      <w:r>
        <w:rPr>
          <w:rFonts w:hint="eastAsia" w:ascii="宋体" w:hAnsi="宋体" w:eastAsia="宋体" w:cs="宋体"/>
          <w:sz w:val="24"/>
          <w:szCs w:val="24"/>
        </w:rPr>
        <w:t>地址：</w:t>
      </w:r>
      <w:r>
        <w:rPr>
          <w:rFonts w:hint="eastAsia" w:ascii="宋体" w:hAnsi="宋体" w:eastAsia="宋体" w:cs="宋体"/>
          <w:sz w:val="24"/>
          <w:szCs w:val="24"/>
          <w:u w:val="single"/>
        </w:rPr>
        <w:t xml:space="preserve">                                   </w:t>
      </w:r>
    </w:p>
    <w:p>
      <w:pPr>
        <w:spacing w:line="440" w:lineRule="exact"/>
        <w:outlineLvl w:val="9"/>
        <w:rPr>
          <w:rFonts w:hint="eastAsia" w:ascii="宋体" w:hAnsi="宋体" w:eastAsia="宋体" w:cs="宋体"/>
          <w:sz w:val="24"/>
          <w:szCs w:val="24"/>
        </w:rPr>
      </w:pPr>
      <w:r>
        <w:rPr>
          <w:rFonts w:hint="eastAsia" w:ascii="宋体" w:hAnsi="宋体" w:eastAsia="宋体" w:cs="宋体"/>
          <w:sz w:val="24"/>
          <w:szCs w:val="24"/>
        </w:rPr>
        <w:t>成立时间：</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spacing w:line="440" w:lineRule="exact"/>
        <w:outlineLvl w:val="9"/>
        <w:rPr>
          <w:rFonts w:hint="eastAsia" w:ascii="宋体" w:hAnsi="宋体" w:eastAsia="宋体" w:cs="宋体"/>
          <w:sz w:val="24"/>
          <w:szCs w:val="24"/>
        </w:rPr>
      </w:pPr>
      <w:r>
        <w:rPr>
          <w:rFonts w:hint="eastAsia" w:ascii="宋体" w:hAnsi="宋体" w:eastAsia="宋体" w:cs="宋体"/>
          <w:sz w:val="24"/>
          <w:szCs w:val="24"/>
        </w:rPr>
        <w:t>经营期限：</w:t>
      </w:r>
      <w:r>
        <w:rPr>
          <w:rFonts w:hint="eastAsia" w:ascii="宋体" w:hAnsi="宋体" w:eastAsia="宋体" w:cs="宋体"/>
          <w:sz w:val="24"/>
          <w:szCs w:val="24"/>
          <w:u w:val="single"/>
        </w:rPr>
        <w:t xml:space="preserve">                               </w:t>
      </w:r>
    </w:p>
    <w:p>
      <w:pPr>
        <w:spacing w:line="440" w:lineRule="exact"/>
        <w:outlineLvl w:val="9"/>
        <w:rPr>
          <w:rFonts w:hint="eastAsia" w:ascii="宋体" w:hAnsi="宋体" w:eastAsia="宋体" w:cs="宋体"/>
          <w:sz w:val="24"/>
          <w:szCs w:val="24"/>
        </w:rPr>
      </w:pPr>
      <w:r>
        <w:rPr>
          <w:rFonts w:hint="eastAsia" w:ascii="宋体" w:hAnsi="宋体" w:eastAsia="宋体" w:cs="宋体"/>
          <w:sz w:val="24"/>
          <w:szCs w:val="24"/>
        </w:rPr>
        <w:t>姓名：</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性别：</w:t>
      </w:r>
      <w:r>
        <w:rPr>
          <w:rFonts w:hint="eastAsia" w:ascii="宋体" w:hAnsi="宋体" w:eastAsia="宋体" w:cs="宋体"/>
          <w:sz w:val="24"/>
          <w:szCs w:val="24"/>
          <w:u w:val="single"/>
        </w:rPr>
        <w:t xml:space="preserve">         </w:t>
      </w:r>
      <w:r>
        <w:rPr>
          <w:rFonts w:hint="eastAsia" w:ascii="宋体" w:hAnsi="宋体" w:eastAsia="宋体" w:cs="宋体"/>
          <w:sz w:val="24"/>
          <w:szCs w:val="24"/>
        </w:rPr>
        <w:t>年龄：</w:t>
      </w:r>
      <w:r>
        <w:rPr>
          <w:rFonts w:hint="eastAsia" w:ascii="宋体" w:hAnsi="宋体" w:eastAsia="宋体" w:cs="宋体"/>
          <w:sz w:val="24"/>
          <w:szCs w:val="24"/>
          <w:u w:val="single"/>
        </w:rPr>
        <w:t xml:space="preserve">        </w:t>
      </w:r>
      <w:r>
        <w:rPr>
          <w:rFonts w:hint="eastAsia" w:ascii="宋体" w:hAnsi="宋体" w:eastAsia="宋体" w:cs="宋体"/>
          <w:sz w:val="24"/>
          <w:szCs w:val="24"/>
        </w:rPr>
        <w:t>职务：</w:t>
      </w:r>
      <w:r>
        <w:rPr>
          <w:rFonts w:hint="eastAsia" w:ascii="宋体" w:hAnsi="宋体" w:eastAsia="宋体" w:cs="宋体"/>
          <w:sz w:val="24"/>
          <w:szCs w:val="24"/>
          <w:u w:val="single"/>
        </w:rPr>
        <w:t xml:space="preserve">        </w:t>
      </w:r>
    </w:p>
    <w:p>
      <w:pPr>
        <w:spacing w:line="440" w:lineRule="exact"/>
        <w:outlineLvl w:val="9"/>
        <w:rPr>
          <w:rFonts w:hint="eastAsia" w:ascii="宋体" w:hAnsi="宋体" w:eastAsia="宋体" w:cs="宋体"/>
          <w:sz w:val="24"/>
          <w:szCs w:val="24"/>
        </w:rPr>
      </w:pPr>
      <w:r>
        <w:rPr>
          <w:rFonts w:hint="eastAsia" w:ascii="宋体" w:hAnsi="宋体" w:eastAsia="宋体" w:cs="宋体"/>
          <w:sz w:val="24"/>
          <w:szCs w:val="24"/>
        </w:rPr>
        <w:t>系</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 （投标人名称）的法定代表人。</w:t>
      </w:r>
    </w:p>
    <w:p>
      <w:pPr>
        <w:spacing w:line="440" w:lineRule="exact"/>
        <w:ind w:firstLine="480" w:firstLineChars="200"/>
        <w:outlineLvl w:val="9"/>
        <w:rPr>
          <w:rFonts w:hint="eastAsia" w:ascii="宋体" w:hAnsi="宋体" w:eastAsia="宋体" w:cs="宋体"/>
          <w:sz w:val="24"/>
          <w:szCs w:val="24"/>
        </w:rPr>
      </w:pPr>
      <w:r>
        <w:rPr>
          <w:rFonts w:hint="eastAsia" w:ascii="宋体" w:hAnsi="宋体" w:eastAsia="宋体" w:cs="宋体"/>
          <w:sz w:val="24"/>
          <w:szCs w:val="24"/>
        </w:rPr>
        <w:t>特此证明。</w:t>
      </w:r>
    </w:p>
    <w:p>
      <w:pPr>
        <w:spacing w:line="440" w:lineRule="exact"/>
        <w:outlineLvl w:val="9"/>
        <w:rPr>
          <w:rFonts w:hint="eastAsia" w:ascii="宋体" w:hAnsi="宋体" w:eastAsia="宋体" w:cs="宋体"/>
          <w:sz w:val="24"/>
          <w:szCs w:val="24"/>
        </w:rPr>
      </w:pPr>
    </w:p>
    <w:p>
      <w:pPr>
        <w:spacing w:line="440" w:lineRule="exact"/>
        <w:outlineLvl w:val="9"/>
        <w:rPr>
          <w:rFonts w:hint="eastAsia" w:ascii="宋体" w:hAnsi="宋体" w:eastAsia="宋体" w:cs="宋体"/>
          <w:sz w:val="24"/>
          <w:szCs w:val="24"/>
        </w:rPr>
      </w:pPr>
    </w:p>
    <w:p>
      <w:pPr>
        <w:spacing w:line="440" w:lineRule="exact"/>
        <w:outlineLvl w:val="9"/>
        <w:rPr>
          <w:rFonts w:hint="eastAsia" w:ascii="宋体" w:hAnsi="宋体" w:eastAsia="宋体" w:cs="宋体"/>
          <w:sz w:val="24"/>
          <w:szCs w:val="24"/>
        </w:rPr>
      </w:pPr>
      <w:r>
        <w:rPr>
          <w:rFonts w:hint="eastAsia" w:ascii="宋体" w:hAnsi="宋体" w:eastAsia="宋体" w:cs="宋体"/>
          <w:sz w:val="24"/>
          <w:szCs w:val="24"/>
        </w:rPr>
        <w:t xml:space="preserve">                          投标人：</w:t>
      </w:r>
      <w:r>
        <w:rPr>
          <w:rFonts w:hint="eastAsia" w:ascii="宋体" w:hAnsi="宋体" w:eastAsia="宋体" w:cs="宋体"/>
          <w:sz w:val="24"/>
          <w:szCs w:val="24"/>
          <w:u w:val="single"/>
        </w:rPr>
        <w:t xml:space="preserve">                 </w:t>
      </w:r>
      <w:r>
        <w:rPr>
          <w:rFonts w:hint="eastAsia" w:ascii="宋体" w:hAnsi="宋体" w:eastAsia="宋体" w:cs="宋体"/>
          <w:sz w:val="24"/>
          <w:szCs w:val="24"/>
        </w:rPr>
        <w:t>（盖单位章）</w:t>
      </w:r>
    </w:p>
    <w:p>
      <w:pPr>
        <w:spacing w:line="440" w:lineRule="exact"/>
        <w:outlineLvl w:val="9"/>
        <w:rPr>
          <w:rFonts w:hint="eastAsia" w:ascii="宋体" w:hAnsi="宋体" w:eastAsia="宋体" w:cs="宋体"/>
        </w:rPr>
      </w:pP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 xml:space="preserve">日      </w:t>
      </w:r>
      <w:r>
        <w:rPr>
          <w:rFonts w:hint="eastAsia" w:ascii="宋体" w:hAnsi="宋体" w:eastAsia="宋体" w:cs="宋体"/>
        </w:rPr>
        <w:t xml:space="preserve">     </w:t>
      </w:r>
    </w:p>
    <w:p>
      <w:pPr>
        <w:keepNext/>
        <w:keepLines/>
        <w:pageBreakBefore/>
        <w:widowControl w:val="0"/>
        <w:kinsoku/>
        <w:wordWrap/>
        <w:overflowPunct/>
        <w:topLinePunct w:val="0"/>
        <w:autoSpaceDE/>
        <w:autoSpaceDN/>
        <w:bidi w:val="0"/>
        <w:adjustRightInd/>
        <w:snapToGrid/>
        <w:spacing w:line="413" w:lineRule="auto"/>
        <w:jc w:val="center"/>
        <w:textAlignment w:val="auto"/>
        <w:outlineLvl w:val="9"/>
        <w:rPr>
          <w:rFonts w:hint="eastAsia" w:ascii="宋体" w:hAnsi="宋体" w:eastAsia="宋体" w:cs="宋体"/>
          <w:sz w:val="30"/>
          <w:szCs w:val="30"/>
        </w:rPr>
      </w:pPr>
      <w:r>
        <w:rPr>
          <w:rFonts w:hint="eastAsia" w:ascii="宋体" w:hAnsi="宋体" w:eastAsia="宋体" w:cs="宋体"/>
          <w:sz w:val="30"/>
          <w:szCs w:val="30"/>
        </w:rPr>
        <w:t>（二）授权委托书</w:t>
      </w:r>
      <w:bookmarkEnd w:id="966"/>
      <w:bookmarkEnd w:id="967"/>
      <w:bookmarkEnd w:id="968"/>
      <w:bookmarkEnd w:id="969"/>
      <w:bookmarkEnd w:id="970"/>
    </w:p>
    <w:p>
      <w:pPr>
        <w:outlineLvl w:val="9"/>
        <w:rPr>
          <w:rFonts w:hint="eastAsia" w:ascii="宋体" w:hAnsi="宋体" w:eastAsia="宋体" w:cs="宋体"/>
        </w:rPr>
      </w:pP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 xml:space="preserve">本人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（姓名）系</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（投标人名称）的法定代表人，现委托</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（姓名）为我方代理人。代理人根据授权，以我方名义签署、澄清、说明、补正、递交、撤回、修改</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（项目名称）的响应文件、签订合同和处理有关事宜，其法律后果由我方承担。</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委托期限：</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代理人无转委托权。</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附：法定代表人</w:t>
      </w:r>
      <w:r>
        <w:rPr>
          <w:rFonts w:hint="eastAsia" w:ascii="宋体" w:hAnsi="宋体" w:eastAsia="宋体" w:cs="宋体"/>
          <w:kern w:val="0"/>
          <w:sz w:val="24"/>
          <w:szCs w:val="24"/>
          <w:lang w:val="en-US" w:eastAsia="zh-CN"/>
        </w:rPr>
        <w:t>及委托代理人</w:t>
      </w:r>
      <w:r>
        <w:rPr>
          <w:rFonts w:hint="eastAsia" w:ascii="宋体" w:hAnsi="宋体" w:eastAsia="宋体" w:cs="宋体"/>
          <w:kern w:val="0"/>
          <w:sz w:val="24"/>
          <w:szCs w:val="24"/>
        </w:rPr>
        <w:t>身份证明</w:t>
      </w: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eastAsia="宋体" w:cs="宋体"/>
          <w:kern w:val="0"/>
          <w:sz w:val="24"/>
          <w:szCs w:val="24"/>
        </w:rPr>
      </w:pPr>
    </w:p>
    <w:p>
      <w:pPr>
        <w:keepNext w:val="0"/>
        <w:keepLines w:val="0"/>
        <w:pageBreakBefore w:val="0"/>
        <w:widowControl w:val="0"/>
        <w:kinsoku/>
        <w:wordWrap/>
        <w:overflowPunct/>
        <w:topLinePunct w:val="0"/>
        <w:autoSpaceDE w:val="0"/>
        <w:autoSpaceDN w:val="0"/>
        <w:bidi w:val="0"/>
        <w:adjustRightInd w:val="0"/>
        <w:snapToGrid/>
        <w:spacing w:line="440" w:lineRule="exact"/>
        <w:ind w:firstLine="480" w:firstLineChars="200"/>
        <w:jc w:val="left"/>
        <w:textAlignment w:val="auto"/>
        <w:outlineLvl w:val="9"/>
        <w:rPr>
          <w:rFonts w:hint="eastAsia" w:ascii="宋体" w:hAnsi="宋体" w:eastAsia="宋体" w:cs="宋体"/>
          <w:kern w:val="0"/>
          <w:sz w:val="24"/>
          <w:szCs w:val="24"/>
        </w:rPr>
      </w:pPr>
    </w:p>
    <w:p>
      <w:pPr>
        <w:keepNext w:val="0"/>
        <w:keepLines w:val="0"/>
        <w:pageBreakBefore w:val="0"/>
        <w:widowControl w:val="0"/>
        <w:kinsoku/>
        <w:wordWrap/>
        <w:overflowPunct/>
        <w:topLinePunct w:val="0"/>
        <w:autoSpaceDE w:val="0"/>
        <w:autoSpaceDN w:val="0"/>
        <w:bidi w:val="0"/>
        <w:adjustRightInd w:val="0"/>
        <w:snapToGrid/>
        <w:spacing w:line="440" w:lineRule="exact"/>
        <w:ind w:firstLine="720" w:firstLineChars="3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投标人：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（盖单位章）</w:t>
      </w:r>
    </w:p>
    <w:p>
      <w:pPr>
        <w:keepNext w:val="0"/>
        <w:keepLines w:val="0"/>
        <w:pageBreakBefore w:val="0"/>
        <w:widowControl w:val="0"/>
        <w:kinsoku/>
        <w:wordWrap/>
        <w:overflowPunct/>
        <w:topLinePunct w:val="0"/>
        <w:autoSpaceDE w:val="0"/>
        <w:autoSpaceDN w:val="0"/>
        <w:bidi w:val="0"/>
        <w:adjustRightInd w:val="0"/>
        <w:snapToGrid/>
        <w:spacing w:line="440" w:lineRule="exact"/>
        <w:ind w:firstLine="720" w:firstLineChars="3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法定代表人：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（签字或盖章）</w:t>
      </w:r>
    </w:p>
    <w:p>
      <w:pPr>
        <w:keepNext w:val="0"/>
        <w:keepLines w:val="0"/>
        <w:pageBreakBefore w:val="0"/>
        <w:widowControl w:val="0"/>
        <w:kinsoku/>
        <w:wordWrap/>
        <w:overflowPunct/>
        <w:topLinePunct w:val="0"/>
        <w:autoSpaceDE w:val="0"/>
        <w:autoSpaceDN w:val="0"/>
        <w:bidi w:val="0"/>
        <w:adjustRightInd w:val="0"/>
        <w:snapToGrid/>
        <w:spacing w:line="440" w:lineRule="exact"/>
        <w:ind w:firstLine="720" w:firstLineChars="3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委托代理人：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（签字或盖章）</w:t>
      </w:r>
    </w:p>
    <w:p>
      <w:pPr>
        <w:keepNext w:val="0"/>
        <w:keepLines w:val="0"/>
        <w:pageBreakBefore w:val="0"/>
        <w:widowControl w:val="0"/>
        <w:kinsoku/>
        <w:wordWrap/>
        <w:overflowPunct/>
        <w:topLinePunct w:val="0"/>
        <w:autoSpaceDE w:val="0"/>
        <w:autoSpaceDN w:val="0"/>
        <w:bidi w:val="0"/>
        <w:adjustRightInd w:val="0"/>
        <w:snapToGrid/>
        <w:spacing w:line="440" w:lineRule="exact"/>
        <w:ind w:firstLine="960" w:firstLineChars="40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年</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月</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 xml:space="preserve"> 日</w:t>
      </w:r>
    </w:p>
    <w:p>
      <w:pPr>
        <w:pStyle w:val="163"/>
        <w:ind w:firstLine="0"/>
        <w:outlineLvl w:val="9"/>
        <w:rPr>
          <w:rFonts w:hint="eastAsia" w:ascii="宋体" w:hAnsi="宋体" w:eastAsia="宋体" w:cs="宋体"/>
          <w:sz w:val="24"/>
          <w:szCs w:val="24"/>
        </w:rPr>
      </w:pPr>
    </w:p>
    <w:p>
      <w:pPr>
        <w:keepNext w:val="0"/>
        <w:keepLines w:val="0"/>
        <w:pageBreakBefore/>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sz w:val="32"/>
          <w:szCs w:val="32"/>
        </w:rPr>
      </w:pPr>
      <w:r>
        <w:rPr>
          <w:rFonts w:hint="eastAsia" w:ascii="宋体" w:hAnsi="宋体" w:eastAsia="宋体" w:cs="宋体"/>
          <w:b/>
          <w:bCs/>
          <w:sz w:val="32"/>
          <w:szCs w:val="32"/>
          <w:lang w:val="en-US" w:eastAsia="zh-CN"/>
        </w:rPr>
        <w:t>三、</w:t>
      </w:r>
      <w:r>
        <w:rPr>
          <w:rFonts w:hint="eastAsia" w:ascii="宋体" w:hAnsi="宋体" w:eastAsia="宋体" w:cs="宋体"/>
          <w:b/>
          <w:bCs/>
          <w:sz w:val="32"/>
          <w:szCs w:val="32"/>
        </w:rPr>
        <w:t>已标价工程量清单</w:t>
      </w:r>
    </w:p>
    <w:p>
      <w:pPr>
        <w:keepNext w:val="0"/>
        <w:keepLines w:val="0"/>
        <w:pageBreakBefore/>
        <w:widowControl w:val="0"/>
        <w:kinsoku/>
        <w:wordWrap/>
        <w:overflowPunct/>
        <w:topLinePunct w:val="0"/>
        <w:autoSpaceDE/>
        <w:autoSpaceDN/>
        <w:bidi w:val="0"/>
        <w:adjustRightInd/>
        <w:snapToGrid/>
        <w:jc w:val="center"/>
        <w:textAlignment w:val="auto"/>
        <w:outlineLvl w:val="9"/>
        <w:rPr>
          <w:rFonts w:hint="eastAsia" w:ascii="宋体" w:hAnsi="宋体" w:eastAsia="宋体" w:cs="宋体"/>
          <w:b/>
          <w:bCs/>
          <w:sz w:val="32"/>
          <w:szCs w:val="32"/>
        </w:rPr>
      </w:pPr>
      <w:r>
        <w:rPr>
          <w:rFonts w:hint="eastAsia" w:ascii="宋体" w:hAnsi="宋体" w:eastAsia="宋体" w:cs="宋体"/>
          <w:b/>
          <w:bCs/>
          <w:sz w:val="32"/>
          <w:szCs w:val="32"/>
        </w:rPr>
        <w:t>四、施工组织设计</w:t>
      </w:r>
    </w:p>
    <w:p>
      <w:pPr>
        <w:keepNext w:val="0"/>
        <w:keepLines w:val="0"/>
        <w:pageBreakBefore/>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sz w:val="32"/>
          <w:szCs w:val="32"/>
        </w:rPr>
      </w:pPr>
      <w:r>
        <w:rPr>
          <w:rFonts w:hint="eastAsia" w:ascii="宋体" w:hAnsi="宋体" w:eastAsia="宋体" w:cs="宋体"/>
          <w:b/>
          <w:bCs/>
          <w:sz w:val="32"/>
          <w:szCs w:val="32"/>
        </w:rPr>
        <w:t>五、资格审查资料</w:t>
      </w:r>
    </w:p>
    <w:p>
      <w:pPr>
        <w:keepNext w:val="0"/>
        <w:keepLines w:val="0"/>
        <w:pageBreakBefore/>
        <w:widowControl w:val="0"/>
        <w:kinsoku/>
        <w:wordWrap/>
        <w:overflowPunct/>
        <w:topLinePunct w:val="0"/>
        <w:autoSpaceDE/>
        <w:autoSpaceDN/>
        <w:bidi w:val="0"/>
        <w:adjustRightInd/>
        <w:snapToGrid/>
        <w:spacing w:line="360" w:lineRule="auto"/>
        <w:jc w:val="center"/>
        <w:textAlignment w:val="auto"/>
        <w:outlineLvl w:val="9"/>
        <w:rPr>
          <w:rFonts w:hint="eastAsia" w:ascii="宋体" w:hAnsi="宋体" w:eastAsia="宋体" w:cs="宋体"/>
          <w:b/>
          <w:bCs/>
          <w:sz w:val="32"/>
          <w:szCs w:val="32"/>
        </w:rPr>
      </w:pPr>
      <w:r>
        <w:rPr>
          <w:rFonts w:hint="eastAsia" w:ascii="宋体" w:hAnsi="宋体" w:eastAsia="宋体" w:cs="宋体"/>
          <w:b/>
          <w:bCs/>
          <w:sz w:val="32"/>
          <w:szCs w:val="32"/>
        </w:rPr>
        <w:t>六、其它材料</w:t>
      </w:r>
    </w:p>
    <w:bookmarkEnd w:id="965"/>
    <w:p>
      <w:pPr>
        <w:keepNext w:val="0"/>
        <w:keepLines w:val="0"/>
        <w:pageBreakBefore/>
        <w:widowControl w:val="0"/>
        <w:kinsoku/>
        <w:wordWrap/>
        <w:overflowPunct/>
        <w:topLinePunct w:val="0"/>
        <w:autoSpaceDE/>
        <w:autoSpaceDN/>
        <w:bidi w:val="0"/>
        <w:adjustRightInd/>
        <w:snapToGrid/>
        <w:spacing w:after="0" w:line="240" w:lineRule="auto"/>
        <w:textAlignment w:val="auto"/>
        <w:outlineLvl w:val="9"/>
        <w:rPr>
          <w:rFonts w:hint="eastAsia" w:ascii="宋体" w:hAnsi="宋体" w:eastAsia="宋体" w:cs="宋体"/>
          <w:b/>
          <w:kern w:val="0"/>
          <w:sz w:val="36"/>
        </w:rPr>
      </w:pPr>
      <w:r>
        <w:rPr>
          <w:rFonts w:hint="eastAsia" w:ascii="宋体" w:hAnsi="宋体" w:eastAsia="宋体" w:cs="宋体"/>
          <w:sz w:val="24"/>
          <w:szCs w:val="24"/>
        </w:rPr>
        <w:t xml:space="preserve"> </w:t>
      </w:r>
      <w:r>
        <w:rPr>
          <w:rFonts w:hint="eastAsia" w:ascii="宋体" w:hAnsi="宋体" w:eastAsia="宋体" w:cs="宋体"/>
          <w:b/>
          <w:kern w:val="0"/>
          <w:sz w:val="36"/>
        </w:rPr>
        <w:t>附</w:t>
      </w:r>
      <w:r>
        <w:rPr>
          <w:rFonts w:hint="eastAsia" w:ascii="宋体" w:hAnsi="宋体" w:eastAsia="宋体" w:cs="宋体"/>
          <w:b/>
          <w:kern w:val="0"/>
          <w:sz w:val="36"/>
          <w:lang w:val="en-US" w:eastAsia="zh-CN"/>
        </w:rPr>
        <w:t>件</w:t>
      </w:r>
      <w:r>
        <w:rPr>
          <w:rFonts w:hint="eastAsia" w:ascii="宋体" w:hAnsi="宋体" w:eastAsia="宋体" w:cs="宋体"/>
          <w:b/>
          <w:kern w:val="0"/>
          <w:sz w:val="36"/>
        </w:rPr>
        <w:t>：</w:t>
      </w:r>
    </w:p>
    <w:p>
      <w:pPr>
        <w:spacing w:line="360" w:lineRule="auto"/>
        <w:jc w:val="center"/>
        <w:outlineLvl w:val="9"/>
        <w:rPr>
          <w:rFonts w:hint="eastAsia" w:ascii="宋体" w:hAnsi="宋体" w:eastAsia="宋体" w:cs="宋体"/>
          <w:b/>
          <w:bCs/>
          <w:sz w:val="32"/>
          <w:szCs w:val="32"/>
        </w:rPr>
      </w:pPr>
      <w:r>
        <w:rPr>
          <w:rFonts w:hint="eastAsia" w:ascii="宋体" w:hAnsi="宋体" w:eastAsia="宋体" w:cs="宋体"/>
          <w:b/>
          <w:bCs/>
          <w:sz w:val="32"/>
          <w:szCs w:val="32"/>
        </w:rPr>
        <w:t>投标承诺函</w:t>
      </w:r>
    </w:p>
    <w:p>
      <w:pPr>
        <w:pStyle w:val="8"/>
        <w:keepNext w:val="0"/>
        <w:keepLines w:val="0"/>
        <w:pageBreakBefore w:val="0"/>
        <w:widowControl w:val="0"/>
        <w:kinsoku/>
        <w:wordWrap/>
        <w:overflowPunct/>
        <w:topLinePunct w:val="0"/>
        <w:autoSpaceDE/>
        <w:autoSpaceDN/>
        <w:bidi w:val="0"/>
        <w:adjustRightInd/>
        <w:snapToGrid/>
        <w:spacing w:after="0" w:line="460" w:lineRule="exact"/>
        <w:ind w:firstLine="560"/>
        <w:jc w:val="lef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致：</w:t>
      </w:r>
      <w:r>
        <w:rPr>
          <w:rFonts w:hint="eastAsia" w:ascii="宋体" w:hAnsi="宋体" w:eastAsia="宋体" w:cs="宋体"/>
          <w:kern w:val="0"/>
          <w:sz w:val="24"/>
          <w:szCs w:val="24"/>
          <w:u w:val="single"/>
        </w:rPr>
        <w:t xml:space="preserve">     （采购人）</w:t>
      </w:r>
    </w:p>
    <w:p>
      <w:pPr>
        <w:pStyle w:val="34"/>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我单位将遵循公开、公平和诚实信用的原则自愿参加</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项目的投标；本公司郑重承诺：</w:t>
      </w:r>
    </w:p>
    <w:p>
      <w:pPr>
        <w:pStyle w:val="34"/>
        <w:keepNext w:val="0"/>
        <w:keepLines w:val="0"/>
        <w:pageBreakBefore w:val="0"/>
        <w:widowControl w:val="0"/>
        <w:numPr>
          <w:ilvl w:val="0"/>
          <w:numId w:val="6"/>
        </w:numPr>
        <w:kinsoku/>
        <w:wordWrap/>
        <w:overflowPunct/>
        <w:topLinePunct w:val="0"/>
        <w:autoSpaceDE/>
        <w:autoSpaceDN/>
        <w:bidi w:val="0"/>
        <w:adjustRightInd/>
        <w:snapToGrid/>
        <w:spacing w:after="0" w:line="460" w:lineRule="exact"/>
        <w:ind w:firstLine="240" w:firstLineChars="1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所提供的一切材料都是真实、有效、合法的；</w:t>
      </w:r>
    </w:p>
    <w:p>
      <w:pPr>
        <w:pStyle w:val="34"/>
        <w:keepNext w:val="0"/>
        <w:keepLines w:val="0"/>
        <w:pageBreakBefore w:val="0"/>
        <w:widowControl w:val="0"/>
        <w:numPr>
          <w:ilvl w:val="0"/>
          <w:numId w:val="6"/>
        </w:numPr>
        <w:kinsoku/>
        <w:wordWrap/>
        <w:overflowPunct/>
        <w:topLinePunct w:val="0"/>
        <w:autoSpaceDE/>
        <w:autoSpaceDN/>
        <w:bidi w:val="0"/>
        <w:adjustRightInd/>
        <w:snapToGrid/>
        <w:spacing w:after="0" w:line="460" w:lineRule="exact"/>
        <w:ind w:firstLine="240" w:firstLineChars="1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不在规定的投标有效期内未经采购人同意撤销或修改其</w:t>
      </w:r>
      <w:r>
        <w:rPr>
          <w:rFonts w:hint="eastAsia" w:ascii="宋体" w:hAnsi="宋体" w:eastAsia="宋体" w:cs="宋体"/>
          <w:kern w:val="0"/>
          <w:sz w:val="24"/>
          <w:szCs w:val="24"/>
          <w:lang w:val="en-US" w:eastAsia="zh-CN"/>
        </w:rPr>
        <w:t>响应</w:t>
      </w:r>
      <w:r>
        <w:rPr>
          <w:rFonts w:hint="eastAsia" w:ascii="宋体" w:hAnsi="宋体" w:eastAsia="宋体" w:cs="宋体"/>
          <w:kern w:val="0"/>
          <w:sz w:val="24"/>
          <w:szCs w:val="24"/>
        </w:rPr>
        <w:t>文件；</w:t>
      </w:r>
    </w:p>
    <w:p>
      <w:pPr>
        <w:pStyle w:val="34"/>
        <w:keepNext w:val="0"/>
        <w:keepLines w:val="0"/>
        <w:pageBreakBefore w:val="0"/>
        <w:widowControl w:val="0"/>
        <w:numPr>
          <w:ilvl w:val="0"/>
          <w:numId w:val="6"/>
        </w:numPr>
        <w:kinsoku/>
        <w:wordWrap/>
        <w:overflowPunct/>
        <w:topLinePunct w:val="0"/>
        <w:autoSpaceDE/>
        <w:autoSpaceDN/>
        <w:bidi w:val="0"/>
        <w:adjustRightInd/>
        <w:snapToGrid/>
        <w:spacing w:after="0" w:line="460" w:lineRule="exact"/>
        <w:ind w:firstLine="240" w:firstLineChars="1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不出借、转让资质证书，不以他人名义投标或者以其他方式弄虚作假，骗取中标；</w:t>
      </w:r>
    </w:p>
    <w:p>
      <w:pPr>
        <w:pStyle w:val="34"/>
        <w:keepNext w:val="0"/>
        <w:keepLines w:val="0"/>
        <w:pageBreakBefore w:val="0"/>
        <w:widowControl w:val="0"/>
        <w:numPr>
          <w:ilvl w:val="0"/>
          <w:numId w:val="6"/>
        </w:numPr>
        <w:kinsoku/>
        <w:wordWrap/>
        <w:overflowPunct/>
        <w:topLinePunct w:val="0"/>
        <w:autoSpaceDE/>
        <w:autoSpaceDN/>
        <w:bidi w:val="0"/>
        <w:adjustRightInd/>
        <w:snapToGrid/>
        <w:spacing w:after="0" w:line="460" w:lineRule="exact"/>
        <w:ind w:firstLine="240" w:firstLineChars="1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不与其他投标人相互串通投标报价，不排挤其他投标人的公平竞争、损害采购人的合法权益；</w:t>
      </w:r>
    </w:p>
    <w:p>
      <w:pPr>
        <w:pStyle w:val="34"/>
        <w:keepNext w:val="0"/>
        <w:keepLines w:val="0"/>
        <w:pageBreakBefore w:val="0"/>
        <w:widowControl w:val="0"/>
        <w:numPr>
          <w:ilvl w:val="0"/>
          <w:numId w:val="6"/>
        </w:numPr>
        <w:kinsoku/>
        <w:wordWrap/>
        <w:overflowPunct/>
        <w:topLinePunct w:val="0"/>
        <w:autoSpaceDE/>
        <w:autoSpaceDN/>
        <w:bidi w:val="0"/>
        <w:adjustRightInd/>
        <w:snapToGrid/>
        <w:spacing w:after="0" w:line="460" w:lineRule="exact"/>
        <w:ind w:firstLine="240" w:firstLineChars="1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不与采购人或者招标代理串通投标，损害国家利益、社会公共利益或者他人的合法权益；</w:t>
      </w:r>
    </w:p>
    <w:p>
      <w:pPr>
        <w:pStyle w:val="34"/>
        <w:keepNext w:val="0"/>
        <w:keepLines w:val="0"/>
        <w:pageBreakBefore w:val="0"/>
        <w:widowControl w:val="0"/>
        <w:numPr>
          <w:ilvl w:val="0"/>
          <w:numId w:val="6"/>
        </w:numPr>
        <w:kinsoku/>
        <w:wordWrap/>
        <w:overflowPunct/>
        <w:topLinePunct w:val="0"/>
        <w:autoSpaceDE/>
        <w:autoSpaceDN/>
        <w:bidi w:val="0"/>
        <w:adjustRightInd/>
        <w:snapToGrid/>
        <w:spacing w:after="0" w:line="460" w:lineRule="exact"/>
        <w:ind w:firstLine="240" w:firstLineChars="1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不向采购人或者</w:t>
      </w:r>
      <w:r>
        <w:rPr>
          <w:rFonts w:hint="eastAsia" w:ascii="宋体" w:hAnsi="宋体" w:eastAsia="宋体" w:cs="宋体"/>
          <w:kern w:val="0"/>
          <w:sz w:val="24"/>
          <w:szCs w:val="24"/>
          <w:lang w:val="en-US" w:eastAsia="zh-CN"/>
        </w:rPr>
        <w:t>评标委员会</w:t>
      </w:r>
      <w:r>
        <w:rPr>
          <w:rFonts w:hint="eastAsia" w:ascii="宋体" w:hAnsi="宋体" w:eastAsia="宋体" w:cs="宋体"/>
          <w:kern w:val="0"/>
          <w:sz w:val="24"/>
          <w:szCs w:val="24"/>
        </w:rPr>
        <w:t>成员贿赂以牟取中标；</w:t>
      </w:r>
    </w:p>
    <w:p>
      <w:pPr>
        <w:pStyle w:val="34"/>
        <w:keepNext w:val="0"/>
        <w:keepLines w:val="0"/>
        <w:pageBreakBefore w:val="0"/>
        <w:widowControl w:val="0"/>
        <w:numPr>
          <w:ilvl w:val="0"/>
          <w:numId w:val="6"/>
        </w:numPr>
        <w:kinsoku/>
        <w:wordWrap/>
        <w:overflowPunct/>
        <w:topLinePunct w:val="0"/>
        <w:autoSpaceDE/>
        <w:autoSpaceDN/>
        <w:bidi w:val="0"/>
        <w:adjustRightInd/>
        <w:snapToGrid/>
        <w:spacing w:after="0" w:line="460" w:lineRule="exact"/>
        <w:ind w:firstLine="240" w:firstLineChars="1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保证中标后不转包；</w:t>
      </w:r>
    </w:p>
    <w:p>
      <w:pPr>
        <w:pStyle w:val="34"/>
        <w:keepNext w:val="0"/>
        <w:keepLines w:val="0"/>
        <w:pageBreakBefore w:val="0"/>
        <w:widowControl w:val="0"/>
        <w:numPr>
          <w:ilvl w:val="0"/>
          <w:numId w:val="6"/>
        </w:numPr>
        <w:kinsoku/>
        <w:wordWrap/>
        <w:overflowPunct/>
        <w:topLinePunct w:val="0"/>
        <w:autoSpaceDE/>
        <w:autoSpaceDN/>
        <w:bidi w:val="0"/>
        <w:adjustRightInd/>
        <w:snapToGrid/>
        <w:spacing w:after="0" w:line="460" w:lineRule="exact"/>
        <w:ind w:firstLine="240" w:firstLineChars="1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保证中标后，在规定时间内领取中标通知书并签订合同；</w:t>
      </w:r>
    </w:p>
    <w:p>
      <w:pPr>
        <w:pStyle w:val="34"/>
        <w:keepNext w:val="0"/>
        <w:keepLines w:val="0"/>
        <w:pageBreakBefore w:val="0"/>
        <w:widowControl w:val="0"/>
        <w:numPr>
          <w:ilvl w:val="0"/>
          <w:numId w:val="6"/>
        </w:numPr>
        <w:kinsoku/>
        <w:wordWrap/>
        <w:overflowPunct/>
        <w:topLinePunct w:val="0"/>
        <w:autoSpaceDE/>
        <w:autoSpaceDN/>
        <w:bidi w:val="0"/>
        <w:adjustRightInd/>
        <w:snapToGrid/>
        <w:spacing w:after="0" w:line="460" w:lineRule="exact"/>
        <w:ind w:firstLine="240" w:firstLineChars="1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保证中标后，按照</w:t>
      </w:r>
      <w:r>
        <w:rPr>
          <w:rFonts w:hint="eastAsia" w:ascii="宋体" w:hAnsi="宋体" w:eastAsia="宋体" w:cs="宋体"/>
          <w:kern w:val="0"/>
          <w:sz w:val="24"/>
          <w:szCs w:val="24"/>
          <w:lang w:val="en-US" w:eastAsia="zh-CN"/>
        </w:rPr>
        <w:t>响应</w:t>
      </w:r>
      <w:r>
        <w:rPr>
          <w:rFonts w:hint="eastAsia" w:ascii="宋体" w:hAnsi="宋体" w:eastAsia="宋体" w:cs="宋体"/>
          <w:kern w:val="0"/>
          <w:sz w:val="24"/>
          <w:szCs w:val="24"/>
        </w:rPr>
        <w:t>文件承诺派驻管理人员及拟派本项目服务人员；</w:t>
      </w:r>
    </w:p>
    <w:p>
      <w:pPr>
        <w:pStyle w:val="34"/>
        <w:keepNext w:val="0"/>
        <w:keepLines w:val="0"/>
        <w:pageBreakBefore w:val="0"/>
        <w:widowControl w:val="0"/>
        <w:kinsoku/>
        <w:wordWrap/>
        <w:overflowPunct/>
        <w:topLinePunct w:val="0"/>
        <w:autoSpaceDE/>
        <w:autoSpaceDN/>
        <w:bidi w:val="0"/>
        <w:adjustRightInd/>
        <w:snapToGrid/>
        <w:spacing w:after="0" w:line="460" w:lineRule="exact"/>
        <w:ind w:firstLine="480" w:firstLineChars="2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本项目若有违反承诺内容的行为，同意接受采购单位处罚并没收履约保证金；自愿接受取消其投标资格、计入信用档案等有关处理，愿意承担法律责任。如已中标的，自动放弃中标资格；给采购人造成损失的，依法承担赔偿责任。</w:t>
      </w:r>
    </w:p>
    <w:p>
      <w:pPr>
        <w:keepNext w:val="0"/>
        <w:keepLines w:val="0"/>
        <w:pageBreakBefore w:val="0"/>
        <w:widowControl w:val="0"/>
        <w:kinsoku/>
        <w:wordWrap/>
        <w:overflowPunct/>
        <w:topLinePunct w:val="0"/>
        <w:autoSpaceDE/>
        <w:autoSpaceDN/>
        <w:bidi w:val="0"/>
        <w:adjustRightInd/>
        <w:snapToGrid/>
        <w:spacing w:after="0" w:line="460" w:lineRule="exact"/>
        <w:ind w:firstLine="480" w:firstLineChars="200"/>
        <w:jc w:val="left"/>
        <w:textAlignment w:val="auto"/>
        <w:outlineLvl w:val="9"/>
        <w:rPr>
          <w:rFonts w:hint="eastAsia" w:ascii="宋体" w:hAnsi="宋体" w:eastAsia="宋体" w:cs="宋体"/>
          <w:sz w:val="24"/>
          <w:szCs w:val="24"/>
        </w:rPr>
      </w:pPr>
      <w:r>
        <w:rPr>
          <w:rFonts w:hint="eastAsia" w:ascii="宋体" w:hAnsi="宋体" w:eastAsia="宋体" w:cs="宋体"/>
          <w:sz w:val="24"/>
          <w:szCs w:val="24"/>
        </w:rPr>
        <w:t>若违反上述内容，本公司自愿承担上述相关法律责任。</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宋体" w:hAnsi="宋体" w:eastAsia="宋体" w:cs="宋体"/>
          <w:sz w:val="24"/>
          <w:szCs w:val="24"/>
        </w:rPr>
      </w:pPr>
      <w:r>
        <w:rPr>
          <w:rFonts w:hint="eastAsia" w:ascii="宋体" w:hAnsi="宋体" w:cs="宋体"/>
          <w:sz w:val="24"/>
          <w:szCs w:val="24"/>
          <w:lang w:val="en-US" w:eastAsia="zh-CN"/>
        </w:rPr>
        <w:t xml:space="preserve">                       </w:t>
      </w:r>
      <w:r>
        <w:rPr>
          <w:rFonts w:hint="eastAsia" w:ascii="宋体" w:hAnsi="宋体" w:eastAsia="宋体" w:cs="宋体"/>
          <w:sz w:val="24"/>
          <w:szCs w:val="24"/>
        </w:rPr>
        <w:t xml:space="preserve"> 投标人：</w:t>
      </w:r>
      <w:r>
        <w:rPr>
          <w:rFonts w:hint="eastAsia" w:ascii="宋体" w:hAnsi="宋体" w:eastAsia="宋体" w:cs="宋体"/>
          <w:sz w:val="24"/>
          <w:szCs w:val="24"/>
          <w:u w:val="single"/>
        </w:rPr>
        <w:t xml:space="preserve">                   </w:t>
      </w:r>
      <w:r>
        <w:rPr>
          <w:rFonts w:hint="eastAsia" w:ascii="宋体" w:hAnsi="宋体" w:eastAsia="宋体" w:cs="宋体"/>
          <w:sz w:val="24"/>
          <w:szCs w:val="24"/>
        </w:rPr>
        <w:t>（单位公章）</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法定代表人：</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w:t>
      </w:r>
      <w:r>
        <w:rPr>
          <w:rFonts w:hint="eastAsia" w:ascii="宋体" w:hAnsi="宋体" w:eastAsia="宋体" w:cs="宋体"/>
          <w:sz w:val="24"/>
          <w:szCs w:val="24"/>
          <w:lang w:eastAsia="zh-CN"/>
        </w:rPr>
        <w:t>签字</w:t>
      </w:r>
      <w:r>
        <w:rPr>
          <w:rFonts w:hint="eastAsia" w:ascii="宋体" w:hAnsi="宋体" w:eastAsia="宋体" w:cs="宋体"/>
          <w:sz w:val="24"/>
          <w:szCs w:val="24"/>
          <w:lang w:val="en-US" w:eastAsia="zh-CN"/>
        </w:rPr>
        <w:t>或盖章</w:t>
      </w:r>
      <w:r>
        <w:rPr>
          <w:rFonts w:hint="eastAsia" w:ascii="宋体" w:hAnsi="宋体" w:eastAsia="宋体" w:cs="宋体"/>
          <w:sz w:val="24"/>
          <w:szCs w:val="24"/>
        </w:rPr>
        <w:t>）</w:t>
      </w:r>
    </w:p>
    <w:p>
      <w:pPr>
        <w:keepNext w:val="0"/>
        <w:keepLines w:val="0"/>
        <w:pageBreakBefore w:val="0"/>
        <w:widowControl w:val="0"/>
        <w:kinsoku/>
        <w:wordWrap/>
        <w:overflowPunct/>
        <w:topLinePunct w:val="0"/>
        <w:autoSpaceDE/>
        <w:autoSpaceDN/>
        <w:bidi w:val="0"/>
        <w:adjustRightInd/>
        <w:snapToGrid/>
        <w:spacing w:line="440" w:lineRule="exact"/>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keepNext w:val="0"/>
        <w:keepLines w:val="0"/>
        <w:pageBreakBefore/>
        <w:widowControl w:val="0"/>
        <w:kinsoku/>
        <w:wordWrap/>
        <w:overflowPunct/>
        <w:topLinePunct w:val="0"/>
        <w:autoSpaceDE/>
        <w:autoSpaceDN/>
        <w:bidi w:val="0"/>
        <w:adjustRightInd/>
        <w:snapToGrid/>
        <w:spacing w:after="0" w:line="360" w:lineRule="auto"/>
        <w:jc w:val="center"/>
        <w:textAlignment w:val="auto"/>
        <w:outlineLvl w:val="9"/>
        <w:rPr>
          <w:rFonts w:hint="eastAsia" w:ascii="宋体" w:hAnsi="宋体" w:eastAsia="宋体" w:cs="宋体"/>
          <w:b/>
          <w:bCs/>
          <w:sz w:val="32"/>
          <w:szCs w:val="32"/>
        </w:rPr>
      </w:pPr>
      <w:bookmarkStart w:id="971" w:name="_Toc14298"/>
      <w:r>
        <w:rPr>
          <w:rFonts w:hint="eastAsia" w:ascii="宋体" w:hAnsi="宋体" w:eastAsia="宋体" w:cs="宋体"/>
          <w:b/>
          <w:bCs/>
          <w:sz w:val="32"/>
          <w:szCs w:val="32"/>
        </w:rPr>
        <w:t>投标保证金承诺函</w:t>
      </w:r>
      <w:bookmarkEnd w:id="971"/>
    </w:p>
    <w:p>
      <w:pPr>
        <w:keepNext w:val="0"/>
        <w:keepLines w:val="0"/>
        <w:pageBreakBefore w:val="0"/>
        <w:widowControl w:val="0"/>
        <w:kinsoku/>
        <w:wordWrap/>
        <w:overflowPunct/>
        <w:topLinePunct w:val="0"/>
        <w:bidi w:val="0"/>
        <w:snapToGrid/>
        <w:spacing w:line="440" w:lineRule="exact"/>
        <w:textAlignment w:val="auto"/>
        <w:outlineLvl w:val="9"/>
        <w:rPr>
          <w:rFonts w:hint="eastAsia" w:ascii="宋体" w:hAnsi="宋体" w:eastAsia="宋体" w:cs="宋体"/>
          <w:b/>
          <w:bCs/>
          <w:sz w:val="24"/>
          <w:szCs w:val="24"/>
          <w:u w:val="single"/>
        </w:rPr>
      </w:pPr>
      <w:r>
        <w:rPr>
          <w:rFonts w:hint="eastAsia" w:ascii="宋体" w:hAnsi="宋体" w:eastAsia="宋体" w:cs="宋体"/>
          <w:sz w:val="24"/>
          <w:szCs w:val="24"/>
        </w:rPr>
        <w:t>致：</w:t>
      </w:r>
      <w:r>
        <w:rPr>
          <w:rFonts w:hint="eastAsia" w:ascii="宋体" w:hAnsi="宋体" w:eastAsia="宋体" w:cs="宋体"/>
          <w:b/>
          <w:bCs/>
          <w:sz w:val="24"/>
          <w:szCs w:val="24"/>
          <w:u w:val="single"/>
        </w:rPr>
        <w:t xml:space="preserve">         </w:t>
      </w:r>
      <w:r>
        <w:rPr>
          <w:rFonts w:hint="eastAsia" w:ascii="宋体" w:hAnsi="宋体" w:eastAsia="宋体" w:cs="宋体"/>
          <w:bCs/>
          <w:sz w:val="24"/>
          <w:szCs w:val="24"/>
          <w:u w:val="single"/>
        </w:rPr>
        <w:t xml:space="preserve">（采购人） </w:t>
      </w:r>
    </w:p>
    <w:p>
      <w:pPr>
        <w:pStyle w:val="34"/>
        <w:keepNext w:val="0"/>
        <w:keepLines w:val="0"/>
        <w:pageBreakBefore w:val="0"/>
        <w:widowControl w:val="0"/>
        <w:kinsoku/>
        <w:wordWrap/>
        <w:overflowPunct/>
        <w:topLinePunct w:val="0"/>
        <w:bidi w:val="0"/>
        <w:snapToGrid/>
        <w:spacing w:line="440" w:lineRule="exact"/>
        <w:ind w:firstLine="480" w:firstLineChars="2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我们收到了</w:t>
      </w:r>
      <w:r>
        <w:rPr>
          <w:rFonts w:hint="eastAsia" w:ascii="宋体" w:hAnsi="宋体" w:eastAsia="宋体" w:cs="宋体"/>
          <w:kern w:val="0"/>
          <w:sz w:val="24"/>
          <w:szCs w:val="24"/>
          <w:lang w:val="en-US" w:eastAsia="zh-CN"/>
        </w:rPr>
        <w:t>采购编号</w:t>
      </w:r>
      <w:r>
        <w:rPr>
          <w:rFonts w:hint="eastAsia" w:ascii="宋体" w:hAnsi="宋体" w:eastAsia="宋体" w:cs="宋体"/>
          <w:kern w:val="0"/>
          <w:sz w:val="24"/>
          <w:szCs w:val="24"/>
        </w:rPr>
        <w:t>为</w:t>
      </w:r>
      <w:r>
        <w:rPr>
          <w:rFonts w:hint="eastAsia" w:ascii="宋体" w:hAnsi="宋体" w:eastAsia="宋体" w:cs="宋体"/>
          <w:kern w:val="0"/>
          <w:sz w:val="24"/>
          <w:szCs w:val="24"/>
          <w:u w:val="single"/>
        </w:rPr>
        <w:t xml:space="preserve">    </w:t>
      </w:r>
      <w:r>
        <w:rPr>
          <w:rFonts w:hint="eastAsia" w:ascii="宋体" w:hAnsi="宋体" w:cs="宋体"/>
          <w:kern w:val="0"/>
          <w:sz w:val="24"/>
          <w:szCs w:val="24"/>
          <w:u w:val="single"/>
          <w:lang w:val="en-US" w:eastAsia="zh-CN"/>
        </w:rPr>
        <w:t xml:space="preserve">     </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的</w:t>
      </w:r>
      <w:r>
        <w:rPr>
          <w:rFonts w:hint="eastAsia" w:ascii="宋体" w:hAnsi="宋体" w:eastAsia="宋体" w:cs="宋体"/>
          <w:kern w:val="0"/>
          <w:sz w:val="24"/>
          <w:szCs w:val="24"/>
          <w:lang w:val="en-US" w:eastAsia="zh-CN"/>
        </w:rPr>
        <w:t>招标</w:t>
      </w:r>
      <w:r>
        <w:rPr>
          <w:rFonts w:hint="eastAsia" w:ascii="宋体" w:hAnsi="宋体" w:eastAsia="宋体" w:cs="宋体"/>
          <w:kern w:val="0"/>
          <w:sz w:val="24"/>
          <w:szCs w:val="24"/>
        </w:rPr>
        <w:t>文件，经详细研究，我们决定参加</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项目名称）的招标活动，我方无条件地、不可撤销地保证：在规定的投标有效期内撤销或修改其响应文件的，或者在收到中标通知书后无正当理由拒签合同或拒交规定履约保证金的，我方自愿承担项目金额2%的保证责任。投标保证金承诺函在投标有效期内保持有效。</w:t>
      </w:r>
    </w:p>
    <w:p>
      <w:pPr>
        <w:pStyle w:val="34"/>
        <w:keepNext w:val="0"/>
        <w:keepLines w:val="0"/>
        <w:pageBreakBefore w:val="0"/>
        <w:widowControl w:val="0"/>
        <w:kinsoku/>
        <w:wordWrap/>
        <w:overflowPunct/>
        <w:topLinePunct w:val="0"/>
        <w:bidi w:val="0"/>
        <w:snapToGrid/>
        <w:spacing w:line="440" w:lineRule="exact"/>
        <w:ind w:firstLine="480" w:firstLineChars="200"/>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特此说明。</w:t>
      </w:r>
    </w:p>
    <w:p>
      <w:pPr>
        <w:keepNext w:val="0"/>
        <w:keepLines w:val="0"/>
        <w:pageBreakBefore w:val="0"/>
        <w:widowControl w:val="0"/>
        <w:kinsoku/>
        <w:wordWrap/>
        <w:overflowPunct/>
        <w:topLinePunct w:val="0"/>
        <w:bidi w:val="0"/>
        <w:snapToGrid/>
        <w:spacing w:line="440" w:lineRule="exact"/>
        <w:ind w:firstLine="567"/>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bidi w:val="0"/>
        <w:snapToGrid/>
        <w:spacing w:line="440" w:lineRule="exact"/>
        <w:ind w:firstLine="567"/>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bidi w:val="0"/>
        <w:snapToGrid/>
        <w:spacing w:line="440" w:lineRule="exact"/>
        <w:ind w:firstLine="567"/>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bidi w:val="0"/>
        <w:snapToGrid/>
        <w:spacing w:line="440" w:lineRule="exact"/>
        <w:ind w:firstLine="567"/>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bidi w:val="0"/>
        <w:snapToGrid/>
        <w:spacing w:line="440" w:lineRule="exact"/>
        <w:ind w:firstLine="567"/>
        <w:textAlignment w:val="auto"/>
        <w:outlineLvl w:val="9"/>
        <w:rPr>
          <w:rFonts w:hint="eastAsia" w:ascii="宋体" w:hAnsi="宋体" w:eastAsia="宋体" w:cs="宋体"/>
          <w:sz w:val="24"/>
          <w:szCs w:val="24"/>
        </w:rPr>
      </w:pPr>
    </w:p>
    <w:p>
      <w:pPr>
        <w:pStyle w:val="35"/>
        <w:keepNext w:val="0"/>
        <w:keepLines w:val="0"/>
        <w:pageBreakBefore w:val="0"/>
        <w:widowControl w:val="0"/>
        <w:tabs>
          <w:tab w:val="left" w:pos="945"/>
          <w:tab w:val="left" w:pos="1155"/>
        </w:tabs>
        <w:kinsoku/>
        <w:wordWrap/>
        <w:overflowPunct/>
        <w:topLinePunct w:val="0"/>
        <w:bidi w:val="0"/>
        <w:snapToGrid/>
        <w:spacing w:line="440" w:lineRule="exact"/>
        <w:ind w:firstLine="576"/>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bidi w:val="0"/>
        <w:snapToGrid/>
        <w:spacing w:line="440" w:lineRule="exact"/>
        <w:ind w:firstLine="567"/>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bidi w:val="0"/>
        <w:snapToGrid/>
        <w:spacing w:line="440" w:lineRule="exact"/>
        <w:ind w:firstLine="567"/>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bidi w:val="0"/>
        <w:snapToGrid/>
        <w:spacing w:line="440" w:lineRule="exact"/>
        <w:ind w:firstLine="567"/>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val="0"/>
        <w:autoSpaceDN w:val="0"/>
        <w:bidi w:val="0"/>
        <w:adjustRightInd w:val="0"/>
        <w:snapToGrid/>
        <w:spacing w:line="440" w:lineRule="exact"/>
        <w:ind w:right="980"/>
        <w:jc w:val="right"/>
        <w:textAlignment w:val="auto"/>
        <w:outlineLvl w:val="9"/>
        <w:rPr>
          <w:rFonts w:hint="eastAsia" w:ascii="宋体" w:hAnsi="宋体" w:eastAsia="宋体" w:cs="宋体"/>
          <w:kern w:val="0"/>
          <w:sz w:val="24"/>
          <w:szCs w:val="24"/>
        </w:rPr>
      </w:pPr>
      <w:r>
        <w:rPr>
          <w:rFonts w:hint="eastAsia" w:ascii="宋体" w:hAnsi="宋体" w:eastAsia="宋体" w:cs="宋体"/>
          <w:kern w:val="0"/>
          <w:sz w:val="24"/>
          <w:szCs w:val="24"/>
        </w:rPr>
        <w:t>投标人：</w:t>
      </w:r>
      <w:r>
        <w:rPr>
          <w:rFonts w:hint="eastAsia" w:ascii="宋体" w:hAnsi="宋体" w:eastAsia="宋体" w:cs="宋体"/>
          <w:kern w:val="0"/>
          <w:sz w:val="24"/>
          <w:szCs w:val="24"/>
          <w:u w:val="single"/>
        </w:rPr>
        <w:t xml:space="preserve">             </w:t>
      </w:r>
      <w:r>
        <w:rPr>
          <w:rFonts w:hint="eastAsia" w:ascii="宋体" w:hAnsi="宋体" w:eastAsia="宋体" w:cs="宋体"/>
          <w:kern w:val="0"/>
          <w:sz w:val="24"/>
          <w:szCs w:val="24"/>
        </w:rPr>
        <w:t>（盖单位章）</w:t>
      </w:r>
    </w:p>
    <w:p>
      <w:pPr>
        <w:keepNext w:val="0"/>
        <w:keepLines w:val="0"/>
        <w:pageBreakBefore w:val="0"/>
        <w:widowControl w:val="0"/>
        <w:kinsoku/>
        <w:wordWrap/>
        <w:overflowPunct/>
        <w:topLinePunct w:val="0"/>
        <w:bidi w:val="0"/>
        <w:snapToGrid/>
        <w:spacing w:line="440" w:lineRule="exact"/>
        <w:ind w:right="1020" w:firstLine="360" w:firstLineChars="150"/>
        <w:jc w:val="center"/>
        <w:textAlignment w:val="auto"/>
        <w:outlineLvl w:val="9"/>
        <w:rPr>
          <w:rFonts w:hint="eastAsia" w:ascii="宋体" w:hAnsi="宋体" w:eastAsia="宋体" w:cs="宋体"/>
          <w:b/>
          <w:sz w:val="24"/>
          <w:szCs w:val="24"/>
        </w:rPr>
      </w:pPr>
      <w:r>
        <w:rPr>
          <w:rFonts w:hint="eastAsia" w:ascii="宋体" w:hAnsi="宋体" w:eastAsia="宋体" w:cs="宋体"/>
          <w:kern w:val="0"/>
          <w:sz w:val="24"/>
          <w:szCs w:val="24"/>
        </w:rPr>
        <w:t xml:space="preserve">                         </w:t>
      </w:r>
      <w:r>
        <w:rPr>
          <w:rFonts w:hint="eastAsia" w:ascii="宋体" w:hAnsi="宋体" w:eastAsia="宋体" w:cs="宋体"/>
          <w:sz w:val="24"/>
          <w:szCs w:val="24"/>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u w:val="single"/>
        </w:rPr>
        <w:t xml:space="preserve">  </w:t>
      </w:r>
      <w:r>
        <w:rPr>
          <w:rFonts w:hint="eastAsia" w:ascii="宋体" w:hAnsi="宋体" w:eastAsia="宋体" w:cs="宋体"/>
          <w:sz w:val="24"/>
          <w:szCs w:val="24"/>
        </w:rPr>
        <w:t>年</w:t>
      </w:r>
      <w:r>
        <w:rPr>
          <w:rFonts w:hint="eastAsia" w:ascii="宋体" w:hAnsi="宋体" w:eastAsia="宋体" w:cs="宋体"/>
          <w:sz w:val="24"/>
          <w:szCs w:val="24"/>
          <w:u w:val="single"/>
        </w:rPr>
        <w:t xml:space="preserve">    </w:t>
      </w:r>
      <w:r>
        <w:rPr>
          <w:rFonts w:hint="eastAsia" w:ascii="宋体" w:hAnsi="宋体" w:eastAsia="宋体" w:cs="宋体"/>
          <w:sz w:val="24"/>
          <w:szCs w:val="24"/>
        </w:rPr>
        <w:t>月</w:t>
      </w:r>
      <w:r>
        <w:rPr>
          <w:rFonts w:hint="eastAsia" w:ascii="宋体" w:hAnsi="宋体" w:eastAsia="宋体" w:cs="宋体"/>
          <w:sz w:val="24"/>
          <w:szCs w:val="24"/>
          <w:u w:val="single"/>
        </w:rPr>
        <w:t xml:space="preserve">      </w:t>
      </w:r>
      <w:r>
        <w:rPr>
          <w:rFonts w:hint="eastAsia" w:ascii="宋体" w:hAnsi="宋体" w:eastAsia="宋体" w:cs="宋体"/>
          <w:sz w:val="24"/>
          <w:szCs w:val="24"/>
        </w:rPr>
        <w:t>日</w:t>
      </w:r>
    </w:p>
    <w:p>
      <w:pPr>
        <w:spacing w:line="800" w:lineRule="exact"/>
        <w:outlineLvl w:val="9"/>
        <w:rPr>
          <w:rFonts w:hint="eastAsia" w:ascii="宋体" w:hAnsi="宋体" w:eastAsia="宋体" w:cs="宋体"/>
          <w:sz w:val="28"/>
          <w:szCs w:val="28"/>
        </w:rPr>
      </w:pPr>
    </w:p>
    <w:p>
      <w:pPr>
        <w:spacing w:line="360" w:lineRule="auto"/>
        <w:ind w:firstLine="567"/>
        <w:outlineLvl w:val="9"/>
        <w:rPr>
          <w:rFonts w:hint="eastAsia" w:ascii="宋体" w:hAnsi="宋体" w:eastAsia="宋体" w:cs="宋体"/>
          <w:sz w:val="28"/>
          <w:szCs w:val="28"/>
        </w:rPr>
      </w:pPr>
    </w:p>
    <w:p>
      <w:pPr>
        <w:keepNext w:val="0"/>
        <w:keepLines w:val="0"/>
        <w:pageBreakBefore/>
        <w:widowControl w:val="0"/>
        <w:kinsoku/>
        <w:wordWrap/>
        <w:overflowPunct/>
        <w:topLinePunct w:val="0"/>
        <w:autoSpaceDE/>
        <w:autoSpaceDN/>
        <w:bidi w:val="0"/>
        <w:adjustRightInd/>
        <w:snapToGrid/>
        <w:spacing w:after="0" w:line="360" w:lineRule="auto"/>
        <w:jc w:val="center"/>
        <w:textAlignment w:val="auto"/>
        <w:outlineLvl w:val="9"/>
        <w:rPr>
          <w:rFonts w:hint="eastAsia" w:ascii="宋体" w:hAnsi="宋体" w:eastAsia="宋体" w:cs="宋体"/>
          <w:b/>
          <w:color w:val="000000" w:themeColor="text1"/>
          <w:sz w:val="32"/>
          <w:szCs w:val="32"/>
          <w:highlight w:val="none"/>
          <w14:textFill>
            <w14:solidFill>
              <w14:schemeClr w14:val="tx1"/>
            </w14:solidFill>
          </w14:textFill>
        </w:rPr>
      </w:pPr>
      <w:bookmarkStart w:id="972" w:name="_Toc11209"/>
      <w:r>
        <w:rPr>
          <w:rFonts w:hint="eastAsia" w:ascii="宋体" w:hAnsi="宋体" w:eastAsia="宋体" w:cs="宋体"/>
          <w:b/>
          <w:color w:val="000000" w:themeColor="text1"/>
          <w:sz w:val="32"/>
          <w:szCs w:val="32"/>
          <w:highlight w:val="none"/>
          <w14:textFill>
            <w14:solidFill>
              <w14:schemeClr w14:val="tx1"/>
            </w14:solidFill>
          </w14:textFill>
        </w:rPr>
        <w:t>中小企业声明函（工程、服务）</w:t>
      </w:r>
      <w:bookmarkEnd w:id="972"/>
    </w:p>
    <w:p>
      <w:pPr>
        <w:pStyle w:val="52"/>
        <w:outlineLvl w:val="9"/>
        <w:rPr>
          <w:rFonts w:hint="eastAsia" w:ascii="宋体" w:hAnsi="宋体" w:eastAsia="宋体" w:cs="宋体"/>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bidi w:val="0"/>
        <w:snapToGrid/>
        <w:spacing w:after="0" w:line="400" w:lineRule="atLeast"/>
        <w:ind w:firstLine="480" w:firstLineChars="200"/>
        <w:jc w:val="left"/>
        <w:textAlignment w:val="auto"/>
        <w:outlineLvl w:val="9"/>
        <w:rPr>
          <w:rFonts w:hint="eastAsia" w:ascii="宋体" w:hAnsi="宋体" w:eastAsia="宋体" w:cs="宋体"/>
          <w:color w:val="000000" w:themeColor="text1"/>
          <w:sz w:val="24"/>
          <w:szCs w:val="24"/>
          <w:highlight w:val="none"/>
          <w:u w:val="singl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本公司（联合体）郑重声明，根据《政府采购促进中小 企业发展管理办法》（财库﹝2020﹞46号）的规定，本公司（联合体）参加</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（单位名称）的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（项目名称）采购活动，工程的施工单位全部为符合政策要求的中小企业（或者：服务全部由符合政策要求的中小企业承接）。相关企业（含联合体中的中小企业、签订分包意向协议的中小企业）的具体情 况如下：</w:t>
      </w:r>
    </w:p>
    <w:p>
      <w:pPr>
        <w:keepNext w:val="0"/>
        <w:keepLines w:val="0"/>
        <w:pageBreakBefore w:val="0"/>
        <w:widowControl w:val="0"/>
        <w:kinsoku/>
        <w:wordWrap/>
        <w:overflowPunct/>
        <w:topLinePunct w:val="0"/>
        <w:bidi w:val="0"/>
        <w:snapToGrid/>
        <w:spacing w:after="0" w:line="400" w:lineRule="atLeast"/>
        <w:ind w:firstLine="480" w:firstLineChars="20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1.</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（标的名称），属于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（采购文件中明确的所属行业）；承建（承接）企业为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（企业名称），从业人员</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人，营业收入为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万元，资产总额为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万元，属于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（中型企业、 小型企业、微型企业）； </w:t>
      </w:r>
    </w:p>
    <w:p>
      <w:pPr>
        <w:keepNext w:val="0"/>
        <w:keepLines w:val="0"/>
        <w:pageBreakBefore w:val="0"/>
        <w:widowControl w:val="0"/>
        <w:kinsoku/>
        <w:wordWrap/>
        <w:overflowPunct/>
        <w:topLinePunct w:val="0"/>
        <w:bidi w:val="0"/>
        <w:snapToGrid/>
        <w:spacing w:after="0" w:line="400" w:lineRule="atLeast"/>
        <w:ind w:firstLine="480" w:firstLineChars="20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2.</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（标的名称），属于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（采购文件中明确的所属行业）；承建（承接）企业为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（企业名称），从业人员</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人，营业收入为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万元，资产总额为</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万元，属于</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（中型企业、小型企业、微型企业）； </w:t>
      </w:r>
    </w:p>
    <w:p>
      <w:pPr>
        <w:keepNext w:val="0"/>
        <w:keepLines w:val="0"/>
        <w:pageBreakBefore w:val="0"/>
        <w:widowControl w:val="0"/>
        <w:kinsoku/>
        <w:wordWrap/>
        <w:overflowPunct/>
        <w:topLinePunct w:val="0"/>
        <w:bidi w:val="0"/>
        <w:snapToGrid/>
        <w:spacing w:after="0" w:line="400" w:lineRule="atLeast"/>
        <w:ind w:firstLine="480" w:firstLineChars="20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w:t>
      </w:r>
    </w:p>
    <w:p>
      <w:pPr>
        <w:keepNext w:val="0"/>
        <w:keepLines w:val="0"/>
        <w:pageBreakBefore w:val="0"/>
        <w:widowControl w:val="0"/>
        <w:kinsoku/>
        <w:wordWrap/>
        <w:overflowPunct/>
        <w:topLinePunct w:val="0"/>
        <w:bidi w:val="0"/>
        <w:snapToGrid/>
        <w:spacing w:after="0" w:line="400" w:lineRule="atLeast"/>
        <w:ind w:firstLine="480" w:firstLineChars="20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以上企业，不属于大企业的分支机构，不存在控股股东 为大企业的情形，也不存在与大企业的负责人为同一人的情 形。</w:t>
      </w:r>
    </w:p>
    <w:p>
      <w:pPr>
        <w:keepNext w:val="0"/>
        <w:keepLines w:val="0"/>
        <w:pageBreakBefore w:val="0"/>
        <w:widowControl w:val="0"/>
        <w:kinsoku/>
        <w:wordWrap/>
        <w:overflowPunct/>
        <w:topLinePunct w:val="0"/>
        <w:bidi w:val="0"/>
        <w:snapToGrid/>
        <w:spacing w:after="0" w:line="400" w:lineRule="atLeast"/>
        <w:ind w:firstLine="480" w:firstLineChars="200"/>
        <w:jc w:val="lef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本企业对上述声明内容的真实性负责。如有虚假，将依 法承担相应责任。                                </w:t>
      </w:r>
    </w:p>
    <w:p>
      <w:pPr>
        <w:keepNext w:val="0"/>
        <w:keepLines w:val="0"/>
        <w:pageBreakBefore w:val="0"/>
        <w:widowControl w:val="0"/>
        <w:kinsoku/>
        <w:wordWrap/>
        <w:overflowPunct/>
        <w:topLinePunct w:val="0"/>
        <w:bidi w:val="0"/>
        <w:snapToGrid/>
        <w:spacing w:after="0" w:line="400" w:lineRule="atLeast"/>
        <w:ind w:firstLine="4680" w:firstLineChars="195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p>
    <w:p>
      <w:pPr>
        <w:keepNext w:val="0"/>
        <w:keepLines w:val="0"/>
        <w:pageBreakBefore w:val="0"/>
        <w:widowControl w:val="0"/>
        <w:kinsoku/>
        <w:wordWrap/>
        <w:overflowPunct/>
        <w:topLinePunct w:val="0"/>
        <w:bidi w:val="0"/>
        <w:snapToGrid/>
        <w:spacing w:after="0" w:line="400" w:lineRule="atLeast"/>
        <w:ind w:firstLine="4920" w:firstLineChars="205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bidi w:val="0"/>
        <w:snapToGrid/>
        <w:spacing w:after="0" w:line="400" w:lineRule="atLeast"/>
        <w:ind w:firstLine="4920" w:firstLineChars="205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bidi w:val="0"/>
        <w:snapToGrid/>
        <w:spacing w:after="0" w:line="400" w:lineRule="atLeast"/>
        <w:ind w:firstLine="4920" w:firstLineChars="205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bidi w:val="0"/>
        <w:snapToGrid/>
        <w:spacing w:after="0" w:line="400" w:lineRule="atLeast"/>
        <w:ind w:firstLine="4920" w:firstLineChars="205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bidi w:val="0"/>
        <w:snapToGrid/>
        <w:spacing w:after="0" w:line="400" w:lineRule="atLeast"/>
        <w:ind w:firstLine="4920" w:firstLineChars="205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bidi w:val="0"/>
        <w:snapToGrid/>
        <w:spacing w:after="0" w:line="400" w:lineRule="atLeast"/>
        <w:ind w:firstLine="4920" w:firstLineChars="205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bidi w:val="0"/>
        <w:snapToGrid/>
        <w:spacing w:after="0" w:line="400" w:lineRule="atLeast"/>
        <w:ind w:firstLine="4920" w:firstLineChars="205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p>
    <w:p>
      <w:pPr>
        <w:keepNext w:val="0"/>
        <w:keepLines w:val="0"/>
        <w:pageBreakBefore w:val="0"/>
        <w:widowControl w:val="0"/>
        <w:kinsoku/>
        <w:wordWrap/>
        <w:overflowPunct/>
        <w:topLinePunct w:val="0"/>
        <w:bidi w:val="0"/>
        <w:snapToGrid/>
        <w:spacing w:after="0" w:line="400" w:lineRule="atLeast"/>
        <w:ind w:firstLine="4920" w:firstLineChars="205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企业名称（盖章）：</w:t>
      </w:r>
    </w:p>
    <w:p>
      <w:pPr>
        <w:keepNext w:val="0"/>
        <w:keepLines w:val="0"/>
        <w:pageBreakBefore w:val="0"/>
        <w:widowControl w:val="0"/>
        <w:kinsoku/>
        <w:wordWrap/>
        <w:overflowPunct/>
        <w:topLinePunct w:val="0"/>
        <w:bidi w:val="0"/>
        <w:snapToGrid/>
        <w:spacing w:after="0" w:line="400" w:lineRule="atLeast"/>
        <w:ind w:firstLine="5040" w:firstLineChars="2100"/>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日  期：</w:t>
      </w:r>
    </w:p>
    <w:p>
      <w:pPr>
        <w:pStyle w:val="52"/>
        <w:keepNext w:val="0"/>
        <w:keepLines w:val="0"/>
        <w:pageBreakBefore w:val="0"/>
        <w:widowControl w:val="0"/>
        <w:kinsoku/>
        <w:wordWrap/>
        <w:overflowPunct/>
        <w:topLinePunct w:val="0"/>
        <w:bidi w:val="0"/>
        <w:snapToGrid/>
        <w:spacing w:after="0" w:line="400" w:lineRule="atLeast"/>
        <w:textAlignment w:val="auto"/>
        <w:outlineLvl w:val="9"/>
        <w:rPr>
          <w:rFonts w:hint="eastAsia" w:ascii="宋体" w:hAnsi="宋体" w:eastAsia="宋体" w:cs="宋体"/>
          <w:color w:val="000000" w:themeColor="text1"/>
          <w:highlight w:val="none"/>
          <w14:textFill>
            <w14:solidFill>
              <w14:schemeClr w14:val="tx1"/>
            </w14:solidFill>
          </w14:textFill>
        </w:rPr>
      </w:pPr>
    </w:p>
    <w:p>
      <w:pPr>
        <w:keepNext w:val="0"/>
        <w:keepLines w:val="0"/>
        <w:pageBreakBefore w:val="0"/>
        <w:widowControl w:val="0"/>
        <w:kinsoku/>
        <w:wordWrap/>
        <w:overflowPunct/>
        <w:topLinePunct w:val="0"/>
        <w:bidi w:val="0"/>
        <w:snapToGrid/>
        <w:spacing w:after="0" w:line="400" w:lineRule="atLeast"/>
        <w:textAlignment w:val="auto"/>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注：1.符合上述条件的供应商，须在响应文件中提供相关声明函。不符合上述条件的供应商无须提供。2.从业人员、营业收入、资产总额填报上一年度数据，无上一年度数据的新成立企业可不填报。</w:t>
      </w:r>
    </w:p>
    <w:p>
      <w:pPr>
        <w:pStyle w:val="52"/>
        <w:keepNext w:val="0"/>
        <w:keepLines w:val="0"/>
        <w:pageBreakBefore w:val="0"/>
        <w:widowControl w:val="0"/>
        <w:kinsoku/>
        <w:wordWrap/>
        <w:overflowPunct/>
        <w:topLinePunct w:val="0"/>
        <w:bidi w:val="0"/>
        <w:snapToGrid/>
        <w:spacing w:line="400" w:lineRule="atLeast"/>
        <w:textAlignment w:val="auto"/>
        <w:outlineLvl w:val="9"/>
        <w:rPr>
          <w:rFonts w:hint="eastAsia" w:ascii="宋体" w:hAnsi="宋体" w:eastAsia="宋体" w:cs="宋体"/>
          <w:color w:val="000000" w:themeColor="text1"/>
          <w:highlight w:val="none"/>
          <w14:textFill>
            <w14:solidFill>
              <w14:schemeClr w14:val="tx1"/>
            </w14:solidFill>
          </w14:textFill>
        </w:rPr>
      </w:pPr>
    </w:p>
    <w:p>
      <w:pPr>
        <w:pStyle w:val="52"/>
        <w:outlineLvl w:val="9"/>
        <w:rPr>
          <w:rFonts w:hint="eastAsia" w:ascii="宋体" w:hAnsi="宋体" w:eastAsia="宋体" w:cs="宋体"/>
          <w:color w:val="000000" w:themeColor="text1"/>
          <w:highlight w:val="none"/>
          <w14:textFill>
            <w14:solidFill>
              <w14:schemeClr w14:val="tx1"/>
            </w14:solidFill>
          </w14:textFill>
        </w:rPr>
      </w:pPr>
    </w:p>
    <w:p>
      <w:pPr>
        <w:outlineLvl w:val="9"/>
        <w:rPr>
          <w:rFonts w:hint="eastAsia" w:ascii="宋体" w:hAnsi="宋体" w:eastAsia="宋体" w:cs="宋体"/>
          <w:b/>
          <w:color w:val="000000" w:themeColor="text1"/>
          <w:sz w:val="32"/>
          <w:szCs w:val="32"/>
          <w:highlight w:val="none"/>
          <w14:textFill>
            <w14:solidFill>
              <w14:schemeClr w14:val="tx1"/>
            </w14:solidFill>
          </w14:textFill>
        </w:rPr>
      </w:pPr>
      <w:r>
        <w:rPr>
          <w:rFonts w:hint="eastAsia" w:ascii="宋体" w:hAnsi="宋体" w:eastAsia="宋体" w:cs="宋体"/>
          <w:b/>
          <w:color w:val="000000" w:themeColor="text1"/>
          <w:sz w:val="32"/>
          <w:szCs w:val="32"/>
          <w:highlight w:val="none"/>
          <w14:textFill>
            <w14:solidFill>
              <w14:schemeClr w14:val="tx1"/>
            </w14:solidFill>
          </w14:textFill>
        </w:rPr>
        <w:br w:type="page"/>
      </w:r>
    </w:p>
    <w:p>
      <w:pPr>
        <w:spacing w:after="0" w:line="360" w:lineRule="auto"/>
        <w:jc w:val="center"/>
        <w:outlineLvl w:val="9"/>
        <w:rPr>
          <w:rFonts w:hint="eastAsia" w:ascii="宋体" w:hAnsi="宋体" w:eastAsia="宋体" w:cs="宋体"/>
          <w:b/>
          <w:color w:val="000000" w:themeColor="text1"/>
          <w:sz w:val="32"/>
          <w:szCs w:val="32"/>
          <w:highlight w:val="none"/>
          <w14:textFill>
            <w14:solidFill>
              <w14:schemeClr w14:val="tx1"/>
            </w14:solidFill>
          </w14:textFill>
        </w:rPr>
      </w:pPr>
      <w:bookmarkStart w:id="973" w:name="_Toc25745"/>
      <w:r>
        <w:rPr>
          <w:rFonts w:hint="eastAsia" w:ascii="宋体" w:hAnsi="宋体" w:eastAsia="宋体" w:cs="宋体"/>
          <w:b/>
          <w:color w:val="000000" w:themeColor="text1"/>
          <w:sz w:val="32"/>
          <w:szCs w:val="32"/>
          <w:highlight w:val="none"/>
          <w14:textFill>
            <w14:solidFill>
              <w14:schemeClr w14:val="tx1"/>
            </w14:solidFill>
          </w14:textFill>
        </w:rPr>
        <w:t>残疾人福利性单位声明函</w:t>
      </w:r>
      <w:bookmarkEnd w:id="973"/>
    </w:p>
    <w:p>
      <w:pPr>
        <w:pStyle w:val="52"/>
        <w:outlineLvl w:val="9"/>
        <w:rPr>
          <w:rFonts w:hint="eastAsia" w:ascii="宋体" w:hAnsi="宋体" w:eastAsia="宋体" w:cs="宋体"/>
          <w:color w:val="000000" w:themeColor="text1"/>
          <w:highlight w:val="none"/>
          <w14:textFill>
            <w14:solidFill>
              <w14:schemeClr w14:val="tx1"/>
            </w14:solidFill>
          </w14:textFill>
        </w:rPr>
      </w:pPr>
    </w:p>
    <w:p>
      <w:pPr>
        <w:autoSpaceDE w:val="0"/>
        <w:autoSpaceDN w:val="0"/>
        <w:adjustRightInd w:val="0"/>
        <w:snapToGrid w:val="0"/>
        <w:spacing w:after="0" w:line="360" w:lineRule="auto"/>
        <w:ind w:firstLine="480" w:firstLineChars="200"/>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单位的</w:t>
      </w:r>
      <w:r>
        <w:rPr>
          <w:rFonts w:hint="eastAsia" w:ascii="宋体" w:hAnsi="宋体" w:eastAsia="宋体" w:cs="宋体"/>
          <w:color w:val="000000" w:themeColor="text1"/>
          <w:sz w:val="24"/>
          <w:szCs w:val="24"/>
          <w:highlight w:val="none"/>
          <w:u w:val="single"/>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项目采购活动提供本单位制造的货物（由本单位承担工程/提供服务），或者提供其他残疾人福利性单位制造的货物（不包括使用非残疾人福利性单位注册商标的货物）。</w:t>
      </w:r>
    </w:p>
    <w:p>
      <w:pPr>
        <w:autoSpaceDE w:val="0"/>
        <w:autoSpaceDN w:val="0"/>
        <w:adjustRightInd w:val="0"/>
        <w:snapToGrid w:val="0"/>
        <w:spacing w:after="0" w:line="360" w:lineRule="auto"/>
        <w:ind w:firstLine="480" w:firstLineChars="200"/>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本单位对上述声明的真实性负责。如有虚假，将依法承担相应责任。</w:t>
      </w:r>
    </w:p>
    <w:p>
      <w:pPr>
        <w:autoSpaceDE w:val="0"/>
        <w:autoSpaceDN w:val="0"/>
        <w:adjustRightInd w:val="0"/>
        <w:snapToGrid w:val="0"/>
        <w:spacing w:after="0" w:line="360" w:lineRule="auto"/>
        <w:outlineLvl w:val="9"/>
        <w:rPr>
          <w:rFonts w:hint="eastAsia" w:ascii="宋体" w:hAnsi="宋体" w:eastAsia="宋体" w:cs="宋体"/>
          <w:color w:val="000000" w:themeColor="text1"/>
          <w:sz w:val="24"/>
          <w:szCs w:val="24"/>
          <w:highlight w:val="none"/>
          <w14:textFill>
            <w14:solidFill>
              <w14:schemeClr w14:val="tx1"/>
            </w14:solidFill>
          </w14:textFill>
        </w:rPr>
      </w:pPr>
    </w:p>
    <w:p>
      <w:pPr>
        <w:autoSpaceDE w:val="0"/>
        <w:autoSpaceDN w:val="0"/>
        <w:adjustRightInd w:val="0"/>
        <w:snapToGrid w:val="0"/>
        <w:spacing w:after="0" w:line="360" w:lineRule="auto"/>
        <w:ind w:right="480" w:firstLine="5280" w:firstLineChars="2200"/>
        <w:outlineLvl w:val="9"/>
        <w:rPr>
          <w:rFonts w:hint="eastAsia" w:ascii="宋体" w:hAnsi="宋体" w:eastAsia="宋体" w:cs="宋体"/>
          <w:color w:val="000000" w:themeColor="text1"/>
          <w:sz w:val="24"/>
          <w:szCs w:val="24"/>
          <w:highlight w:val="none"/>
          <w14:textFill>
            <w14:solidFill>
              <w14:schemeClr w14:val="tx1"/>
            </w14:solidFill>
          </w14:textFill>
        </w:rPr>
      </w:pPr>
    </w:p>
    <w:p>
      <w:pPr>
        <w:autoSpaceDE w:val="0"/>
        <w:autoSpaceDN w:val="0"/>
        <w:adjustRightInd w:val="0"/>
        <w:snapToGrid w:val="0"/>
        <w:spacing w:after="0" w:line="360" w:lineRule="auto"/>
        <w:ind w:right="480" w:firstLine="5280" w:firstLineChars="2200"/>
        <w:outlineLvl w:val="9"/>
        <w:rPr>
          <w:rFonts w:hint="eastAsia" w:ascii="宋体" w:hAnsi="宋体" w:eastAsia="宋体" w:cs="宋体"/>
          <w:color w:val="000000" w:themeColor="text1"/>
          <w:sz w:val="24"/>
          <w:szCs w:val="24"/>
          <w:highlight w:val="none"/>
          <w14:textFill>
            <w14:solidFill>
              <w14:schemeClr w14:val="tx1"/>
            </w14:solidFill>
          </w14:textFill>
        </w:rPr>
      </w:pPr>
    </w:p>
    <w:p>
      <w:pPr>
        <w:autoSpaceDE w:val="0"/>
        <w:autoSpaceDN w:val="0"/>
        <w:adjustRightInd w:val="0"/>
        <w:snapToGrid w:val="0"/>
        <w:spacing w:after="0" w:line="360" w:lineRule="auto"/>
        <w:ind w:right="480" w:firstLine="5280" w:firstLineChars="2200"/>
        <w:outlineLvl w:val="9"/>
        <w:rPr>
          <w:rFonts w:hint="eastAsia" w:ascii="宋体" w:hAnsi="宋体" w:eastAsia="宋体" w:cs="宋体"/>
          <w:color w:val="000000" w:themeColor="text1"/>
          <w:sz w:val="24"/>
          <w:szCs w:val="24"/>
          <w:highlight w:val="none"/>
          <w14:textFill>
            <w14:solidFill>
              <w14:schemeClr w14:val="tx1"/>
            </w14:solidFill>
          </w14:textFill>
        </w:rPr>
      </w:pPr>
    </w:p>
    <w:p>
      <w:pPr>
        <w:autoSpaceDE w:val="0"/>
        <w:autoSpaceDN w:val="0"/>
        <w:adjustRightInd w:val="0"/>
        <w:snapToGrid w:val="0"/>
        <w:spacing w:after="0" w:line="360" w:lineRule="auto"/>
        <w:ind w:right="480" w:firstLine="5280" w:firstLineChars="2200"/>
        <w:outlineLvl w:val="9"/>
        <w:rPr>
          <w:rFonts w:hint="eastAsia" w:ascii="宋体" w:hAnsi="宋体" w:eastAsia="宋体" w:cs="宋体"/>
          <w:color w:val="000000" w:themeColor="text1"/>
          <w:sz w:val="24"/>
          <w:szCs w:val="24"/>
          <w:highlight w:val="none"/>
          <w14:textFill>
            <w14:solidFill>
              <w14:schemeClr w14:val="tx1"/>
            </w14:solidFill>
          </w14:textFill>
        </w:rPr>
      </w:pPr>
    </w:p>
    <w:p>
      <w:pPr>
        <w:autoSpaceDE w:val="0"/>
        <w:autoSpaceDN w:val="0"/>
        <w:adjustRightInd w:val="0"/>
        <w:snapToGrid w:val="0"/>
        <w:spacing w:after="0" w:line="360" w:lineRule="auto"/>
        <w:ind w:right="480" w:firstLine="5280" w:firstLineChars="2200"/>
        <w:outlineLvl w:val="9"/>
        <w:rPr>
          <w:rFonts w:hint="eastAsia" w:ascii="宋体" w:hAnsi="宋体" w:eastAsia="宋体" w:cs="宋体"/>
          <w:color w:val="000000" w:themeColor="text1"/>
          <w:sz w:val="24"/>
          <w:szCs w:val="24"/>
          <w:highlight w:val="none"/>
          <w14:textFill>
            <w14:solidFill>
              <w14:schemeClr w14:val="tx1"/>
            </w14:solidFill>
          </w14:textFill>
        </w:rPr>
      </w:pPr>
    </w:p>
    <w:p>
      <w:pPr>
        <w:autoSpaceDE w:val="0"/>
        <w:autoSpaceDN w:val="0"/>
        <w:adjustRightInd w:val="0"/>
        <w:snapToGrid w:val="0"/>
        <w:spacing w:after="0" w:line="360" w:lineRule="auto"/>
        <w:ind w:right="480" w:firstLine="5280" w:firstLineChars="2200"/>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单位名称（盖章）：</w:t>
      </w:r>
    </w:p>
    <w:p>
      <w:pPr>
        <w:autoSpaceDE w:val="0"/>
        <w:autoSpaceDN w:val="0"/>
        <w:adjustRightInd w:val="0"/>
        <w:snapToGrid w:val="0"/>
        <w:spacing w:after="0" w:line="360" w:lineRule="auto"/>
        <w:ind w:right="480"/>
        <w:jc w:val="center"/>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 xml:space="preserve">                     </w:t>
      </w:r>
      <w:r>
        <w:rPr>
          <w:rFonts w:hint="eastAsia" w:ascii="宋体" w:hAnsi="宋体" w:eastAsia="宋体" w:cs="宋体"/>
          <w:color w:val="000000" w:themeColor="text1"/>
          <w:sz w:val="24"/>
          <w:szCs w:val="24"/>
          <w:highlight w:val="none"/>
          <w:lang w:val="en-US" w:eastAsia="zh-CN"/>
          <w14:textFill>
            <w14:solidFill>
              <w14:schemeClr w14:val="tx1"/>
            </w14:solidFill>
          </w14:textFill>
        </w:rPr>
        <w:t xml:space="preserve">     </w:t>
      </w:r>
      <w:r>
        <w:rPr>
          <w:rFonts w:hint="eastAsia" w:ascii="宋体" w:hAnsi="宋体" w:eastAsia="宋体" w:cs="宋体"/>
          <w:color w:val="000000" w:themeColor="text1"/>
          <w:sz w:val="24"/>
          <w:szCs w:val="24"/>
          <w:highlight w:val="none"/>
          <w14:textFill>
            <w14:solidFill>
              <w14:schemeClr w14:val="tx1"/>
            </w14:solidFill>
          </w14:textFill>
        </w:rPr>
        <w:t xml:space="preserve"> 日  期：</w:t>
      </w:r>
    </w:p>
    <w:p>
      <w:pPr>
        <w:autoSpaceDE w:val="0"/>
        <w:autoSpaceDN w:val="0"/>
        <w:adjustRightInd w:val="0"/>
        <w:snapToGrid w:val="0"/>
        <w:spacing w:after="0" w:line="240" w:lineRule="auto"/>
        <w:ind w:right="-9"/>
        <w:outlineLvl w:val="9"/>
        <w:rPr>
          <w:rFonts w:hint="eastAsia" w:ascii="宋体" w:hAnsi="宋体" w:eastAsia="宋体" w:cs="宋体"/>
          <w:color w:val="000000" w:themeColor="text1"/>
          <w:sz w:val="24"/>
          <w:szCs w:val="24"/>
          <w:highlight w:val="none"/>
          <w14:textFill>
            <w14:solidFill>
              <w14:schemeClr w14:val="tx1"/>
            </w14:solidFill>
          </w14:textFill>
        </w:rPr>
      </w:pPr>
    </w:p>
    <w:p>
      <w:pPr>
        <w:autoSpaceDE w:val="0"/>
        <w:autoSpaceDN w:val="0"/>
        <w:adjustRightInd w:val="0"/>
        <w:snapToGrid w:val="0"/>
        <w:spacing w:after="0" w:line="240" w:lineRule="auto"/>
        <w:ind w:right="-9"/>
        <w:outlineLvl w:val="9"/>
        <w:rPr>
          <w:rFonts w:hint="eastAsia" w:ascii="宋体" w:hAnsi="宋体" w:eastAsia="宋体" w:cs="宋体"/>
          <w:color w:val="000000" w:themeColor="text1"/>
          <w:sz w:val="24"/>
          <w:szCs w:val="24"/>
          <w:highlight w:val="none"/>
          <w14:textFill>
            <w14:solidFill>
              <w14:schemeClr w14:val="tx1"/>
            </w14:solidFill>
          </w14:textFill>
        </w:rPr>
      </w:pPr>
    </w:p>
    <w:p>
      <w:pPr>
        <w:autoSpaceDE w:val="0"/>
        <w:autoSpaceDN w:val="0"/>
        <w:adjustRightInd w:val="0"/>
        <w:snapToGrid w:val="0"/>
        <w:spacing w:after="0" w:line="240" w:lineRule="auto"/>
        <w:ind w:right="-9"/>
        <w:outlineLvl w:val="9"/>
        <w:rPr>
          <w:rFonts w:hint="eastAsia" w:ascii="宋体" w:hAnsi="宋体" w:eastAsia="宋体" w:cs="宋体"/>
          <w:color w:val="000000" w:themeColor="text1"/>
          <w:sz w:val="24"/>
          <w:szCs w:val="24"/>
          <w:highlight w:val="none"/>
          <w14:textFill>
            <w14:solidFill>
              <w14:schemeClr w14:val="tx1"/>
            </w14:solidFill>
          </w14:textFill>
        </w:rPr>
      </w:pPr>
    </w:p>
    <w:p>
      <w:pPr>
        <w:autoSpaceDE w:val="0"/>
        <w:autoSpaceDN w:val="0"/>
        <w:adjustRightInd w:val="0"/>
        <w:snapToGrid w:val="0"/>
        <w:spacing w:after="0" w:line="240" w:lineRule="auto"/>
        <w:ind w:right="-9"/>
        <w:outlineLvl w:val="9"/>
        <w:rPr>
          <w:rFonts w:hint="eastAsia" w:ascii="宋体" w:hAnsi="宋体" w:eastAsia="宋体" w:cs="宋体"/>
          <w:color w:val="000000" w:themeColor="text1"/>
          <w:sz w:val="24"/>
          <w:szCs w:val="24"/>
          <w:highlight w:val="none"/>
          <w14:textFill>
            <w14:solidFill>
              <w14:schemeClr w14:val="tx1"/>
            </w14:solidFill>
          </w14:textFill>
        </w:rPr>
      </w:pPr>
    </w:p>
    <w:p>
      <w:pPr>
        <w:autoSpaceDE w:val="0"/>
        <w:autoSpaceDN w:val="0"/>
        <w:adjustRightInd w:val="0"/>
        <w:snapToGrid w:val="0"/>
        <w:spacing w:after="0" w:line="240" w:lineRule="auto"/>
        <w:ind w:right="-9"/>
        <w:outlineLvl w:val="9"/>
        <w:rPr>
          <w:rFonts w:hint="eastAsia" w:ascii="宋体" w:hAnsi="宋体" w:eastAsia="宋体" w:cs="宋体"/>
          <w:color w:val="000000" w:themeColor="text1"/>
          <w:sz w:val="24"/>
          <w:szCs w:val="24"/>
          <w:highlight w:val="none"/>
          <w14:textFill>
            <w14:solidFill>
              <w14:schemeClr w14:val="tx1"/>
            </w14:solidFill>
          </w14:textFill>
        </w:rPr>
      </w:pPr>
    </w:p>
    <w:p>
      <w:pPr>
        <w:autoSpaceDE w:val="0"/>
        <w:autoSpaceDN w:val="0"/>
        <w:adjustRightInd w:val="0"/>
        <w:snapToGrid w:val="0"/>
        <w:spacing w:after="0" w:line="240" w:lineRule="auto"/>
        <w:ind w:right="-9"/>
        <w:outlineLvl w:val="9"/>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注：符合上述条件的供应商，须在响应文件中提供相关声明函。不符合上述条件的供应商无须提供。</w:t>
      </w:r>
    </w:p>
    <w:p>
      <w:pPr>
        <w:tabs>
          <w:tab w:val="left" w:pos="5210"/>
        </w:tabs>
        <w:jc w:val="left"/>
        <w:outlineLvl w:val="9"/>
        <w:rPr>
          <w:rFonts w:hint="eastAsia" w:ascii="宋体" w:hAnsi="宋体" w:eastAsia="宋体" w:cs="宋体"/>
          <w:color w:val="000000" w:themeColor="text1"/>
          <w:highlight w:val="none"/>
          <w14:textFill>
            <w14:solidFill>
              <w14:schemeClr w14:val="tx1"/>
            </w14:solidFill>
          </w14:textFill>
        </w:rPr>
      </w:pPr>
    </w:p>
    <w:p>
      <w:pPr>
        <w:pStyle w:val="52"/>
        <w:outlineLvl w:val="9"/>
        <w:rPr>
          <w:rFonts w:hint="eastAsia" w:ascii="宋体" w:hAnsi="宋体" w:eastAsia="宋体" w:cs="宋体"/>
          <w:color w:val="000000" w:themeColor="text1"/>
          <w:highlight w:val="none"/>
          <w:lang w:eastAsia="zh-CN"/>
          <w14:textFill>
            <w14:solidFill>
              <w14:schemeClr w14:val="tx1"/>
            </w14:solidFill>
          </w14:textFill>
        </w:rPr>
      </w:pPr>
    </w:p>
    <w:p>
      <w:pPr>
        <w:pStyle w:val="52"/>
        <w:outlineLvl w:val="9"/>
        <w:rPr>
          <w:rFonts w:hint="eastAsia" w:ascii="宋体" w:hAnsi="宋体" w:eastAsia="宋体" w:cs="宋体"/>
          <w:lang w:eastAsia="zh-CN"/>
        </w:rPr>
      </w:pPr>
    </w:p>
    <w:p>
      <w:pPr>
        <w:pStyle w:val="28"/>
        <w:outlineLvl w:val="9"/>
        <w:rPr>
          <w:rFonts w:hint="eastAsia" w:ascii="宋体" w:hAnsi="宋体" w:eastAsia="宋体" w:cs="宋体"/>
          <w:lang w:eastAsia="zh-CN"/>
        </w:rPr>
      </w:pPr>
    </w:p>
    <w:p>
      <w:pPr>
        <w:outlineLvl w:val="9"/>
        <w:rPr>
          <w:rFonts w:hint="eastAsia" w:ascii="宋体" w:hAnsi="宋体" w:eastAsia="宋体" w:cs="宋体"/>
          <w:lang w:eastAsia="zh-CN"/>
        </w:rPr>
      </w:pPr>
    </w:p>
    <w:p>
      <w:pPr>
        <w:pStyle w:val="5"/>
        <w:outlineLvl w:val="9"/>
        <w:rPr>
          <w:rFonts w:hint="eastAsia" w:ascii="宋体" w:hAnsi="宋体" w:eastAsia="宋体" w:cs="宋体"/>
          <w:lang w:eastAsia="zh-CN"/>
        </w:rPr>
      </w:pPr>
    </w:p>
    <w:p>
      <w:pPr>
        <w:rPr>
          <w:rFonts w:hint="eastAsia"/>
        </w:rPr>
      </w:pPr>
    </w:p>
    <w:sectPr>
      <w:headerReference r:id="rId10" w:type="default"/>
      <w:footerReference r:id="rId11" w:type="default"/>
      <w:pgSz w:w="11906" w:h="16838"/>
      <w:pgMar w:top="1247" w:right="1304" w:bottom="1247" w:left="1304" w:header="680" w:footer="680" w:gutter="0"/>
      <w:pgNumType w:fmt="decimal"/>
      <w:cols w:space="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Consolas">
    <w:panose1 w:val="020B0609020204030204"/>
    <w:charset w:val="00"/>
    <w:family w:val="modern"/>
    <w:pitch w:val="default"/>
    <w:sig w:usb0="E00006FF" w:usb1="0000FCFF" w:usb2="00000001" w:usb3="00000000" w:csb0="6000019F" w:csb1="DFD7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MicrosoftYaHei">
    <w:altName w:val="Segoe Print"/>
    <w:panose1 w:val="00000000000000000000"/>
    <w:charset w:val="00"/>
    <w:family w:val="auto"/>
    <w:pitch w:val="default"/>
    <w:sig w:usb0="00000000" w:usb1="00000000" w:usb2="00000000" w:usb3="00000000" w:csb0="00000000" w:csb1="00000000"/>
  </w:font>
  <w:font w:name="Segoe UI">
    <w:panose1 w:val="020B0502040204020203"/>
    <w:charset w:val="00"/>
    <w:family w:val="auto"/>
    <w:pitch w:val="default"/>
    <w:sig w:usb0="E4002EFF" w:usb1="C000E47F" w:usb2="00000009" w:usb3="00000000" w:csb0="200001FF" w:csb1="00000000"/>
    <w:embedRegular r:id="rId1" w:fontKey="{037D19FB-852A-4248-98B3-D5980E3A6AB2}"/>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 w:name="Chiller">
    <w:panose1 w:val="04020404031007020602"/>
    <w:charset w:val="00"/>
    <w:family w:val="auto"/>
    <w:pitch w:val="default"/>
    <w:sig w:usb0="00000003" w:usb1="00000000" w:usb2="00000000" w:usb3="00000000" w:csb0="20000001" w:csb1="00000000"/>
  </w:font>
  <w:font w:name="Microsoft YaHei UI">
    <w:panose1 w:val="020B0503020204020204"/>
    <w:charset w:val="86"/>
    <w:family w:val="auto"/>
    <w:pitch w:val="default"/>
    <w:sig w:usb0="80000287" w:usb1="2ACF3C50" w:usb2="00000016" w:usb3="00000000" w:csb0="0004001F" w:csb1="00000000"/>
  </w:font>
  <w:font w:name="方正仿宋_GB2312">
    <w:altName w:val="方正仿宋_GB2312"/>
    <w:panose1 w:val="02000000000000000000"/>
    <w:charset w:val="86"/>
    <w:family w:val="auto"/>
    <w:pitch w:val="default"/>
    <w:sig w:usb0="A00002BF" w:usb1="184F6CFA" w:usb2="00000012" w:usb3="00000000" w:csb0="00040001" w:csb1="00000000"/>
    <w:embedRegular r:id="rId2" w:fontKey="{1402991A-5B98-4640-A585-1CA989DC237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4935" cy="131445"/>
              <wp:effectExtent l="0" t="0" r="0" b="0"/>
              <wp:wrapNone/>
              <wp:docPr id="34" name="文本框 6"/>
              <wp:cNvGraphicFramePr/>
              <a:graphic xmlns:a="http://schemas.openxmlformats.org/drawingml/2006/main">
                <a:graphicData uri="http://schemas.microsoft.com/office/word/2010/wordprocessingShape">
                  <wps:wsp>
                    <wps:cNvSpPr txBox="1"/>
                    <wps:spPr>
                      <a:xfrm>
                        <a:off x="0" y="0"/>
                        <a:ext cx="114935" cy="131445"/>
                      </a:xfrm>
                      <a:prstGeom prst="rect">
                        <a:avLst/>
                      </a:prstGeom>
                      <a:noFill/>
                      <a:ln w="15875">
                        <a:noFill/>
                      </a:ln>
                    </wps:spPr>
                    <wps:txbx>
                      <w:txbxContent>
                        <w:p>
                          <w:pPr>
                            <w:snapToGrid w:val="0"/>
                            <w:rPr>
                              <w:sz w:val="18"/>
                              <w:szCs w:val="18"/>
                            </w:rPr>
                          </w:pPr>
                        </w:p>
                      </w:txbxContent>
                    </wps:txbx>
                    <wps:bodyPr wrap="none" lIns="0" tIns="0" rIns="0" bIns="0" upright="1">
                      <a:spAutoFit/>
                    </wps:bodyPr>
                  </wps:wsp>
                </a:graphicData>
              </a:graphic>
            </wp:anchor>
          </w:drawing>
        </mc:Choice>
        <mc:Fallback>
          <w:pict>
            <v:shape id="文本框 6" o:spid="_x0000_s1026" o:spt="202" type="#_x0000_t202" style="position:absolute;left:0pt;margin-top:0pt;height:10.35pt;width:9.05pt;mso-position-horizontal:center;mso-position-horizontal-relative:margin;mso-wrap-style:none;z-index:251659264;mso-width-relative:page;mso-height-relative:page;" filled="f" stroked="f" coordsize="21600,21600" o:gfxdata="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BADMeA1AAAAAMBAAAPAAAAAAAAAAEAIAAA&#10;ACIAAABkcnMvZG93bnJldi54bWxQSwECFAAUAAAACACHTuJA7z5of9cBAACiAwAADgAAAAAAAAAB&#10;ACAAAAAjAQAAZHJzL2Uyb0RvYy54bWxQSwUGAAAAAAYABgBZAQAAbAUAAAAA&#10;">
              <v:fill on="f" focussize="0,0"/>
              <v:stroke on="f" weight="1.25pt"/>
              <v:imagedata o:title=""/>
              <o:lock v:ext="edit" aspectratio="f"/>
              <v:textbox inset="0mm,0mm,0mm,0mm" style="mso-fit-shape-to-text:t;">
                <w:txbxContent>
                  <w:p>
                    <w:pPr>
                      <w:snapToGrid w:val="0"/>
                      <w:rPr>
                        <w:sz w:val="18"/>
                        <w:szCs w:val="18"/>
                      </w:rPr>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left w:val="none" w:color="auto" w:sz="0" w:space="4"/>
        <w:bottom w:val="none" w:color="auto" w:sz="0" w:space="1"/>
        <w:right w:val="none" w:color="auto" w:sz="0" w:space="4"/>
      </w:pBdr>
      <w:rPr>
        <w:rFonts w:ascii="方正仿宋_GB2312" w:eastAsia="方正仿宋_GB2312"/>
        <w:b/>
      </w:rPr>
    </w:pPr>
    <w:r>
      <w:rPr>
        <w:sz w:val="21"/>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left w:val="none" w:color="auto" w:sz="0" w:space="4"/>
        <w:bottom w:val="none" w:color="auto" w:sz="0" w:space="1"/>
        <w:right w:val="none" w:color="auto" w:sz="0" w:space="4"/>
      </w:pBdr>
      <w:rPr>
        <w:rFonts w:ascii="方正仿宋_GB2312" w:eastAsia="方正仿宋_GB2312"/>
        <w:b/>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left w:val="none" w:color="auto" w:sz="0" w:space="4"/>
        <w:bottom w:val="none" w:color="auto" w:sz="0" w:space="1"/>
        <w:right w:val="none" w:color="auto" w:sz="0" w:space="4"/>
      </w:pBdr>
      <w:rPr>
        <w:rFonts w:ascii="方正仿宋_GB2312" w:eastAsia="方正仿宋_GB2312"/>
        <w:b/>
      </w:rPr>
    </w:pPr>
    <w:r>
      <w:rPr>
        <w:sz w:val="21"/>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29734FF"/>
    <w:multiLevelType w:val="multilevel"/>
    <w:tmpl w:val="229734FF"/>
    <w:lvl w:ilvl="0" w:tentative="0">
      <w:start w:val="1"/>
      <w:numFmt w:val="decimal"/>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1">
    <w:nsid w:val="37743113"/>
    <w:multiLevelType w:val="singleLevel"/>
    <w:tmpl w:val="37743113"/>
    <w:lvl w:ilvl="0" w:tentative="0">
      <w:start w:val="1"/>
      <w:numFmt w:val="chineseCounting"/>
      <w:suff w:val="nothing"/>
      <w:lvlText w:val="%1、"/>
      <w:lvlJc w:val="left"/>
      <w:rPr>
        <w:rFonts w:hint="eastAsia"/>
      </w:rPr>
    </w:lvl>
  </w:abstractNum>
  <w:abstractNum w:abstractNumId="2">
    <w:nsid w:val="3AA800C6"/>
    <w:multiLevelType w:val="multilevel"/>
    <w:tmpl w:val="3AA800C6"/>
    <w:lvl w:ilvl="0" w:tentative="0">
      <w:start w:val="1"/>
      <w:numFmt w:val="decimal"/>
      <w:pStyle w:val="153"/>
      <w:lvlText w:val="第%1条"/>
      <w:lvlJc w:val="left"/>
      <w:pPr>
        <w:ind w:left="0" w:firstLine="0"/>
      </w:pPr>
    </w:lvl>
    <w:lvl w:ilvl="1" w:tentative="0">
      <w:start w:val="1"/>
      <w:numFmt w:val="decimal"/>
      <w:lvlText w:val="%1.%2"/>
      <w:lvlJc w:val="left"/>
      <w:pPr>
        <w:ind w:left="0" w:firstLine="0"/>
      </w:pPr>
    </w:lvl>
    <w:lvl w:ilvl="2" w:tentative="0">
      <w:start w:val="1"/>
      <w:numFmt w:val="decimal"/>
      <w:lvlText w:val="%1.%2.%3"/>
      <w:lvlJc w:val="left"/>
      <w:pPr>
        <w:ind w:left="0" w:firstLine="0"/>
      </w:pPr>
      <w:rPr>
        <w:rFonts w:hint="eastAsia" w:ascii="方正仿宋_GB2312" w:eastAsia="方正仿宋_GB2312"/>
      </w:rPr>
    </w:lvl>
    <w:lvl w:ilvl="3" w:tentative="0">
      <w:start w:val="1"/>
      <w:numFmt w:val="decimal"/>
      <w:lvlText w:val="%1.%2.%3.%4"/>
      <w:lvlJc w:val="left"/>
      <w:pPr>
        <w:ind w:left="0" w:firstLine="0"/>
      </w:pPr>
    </w:lvl>
    <w:lvl w:ilvl="4" w:tentative="0">
      <w:start w:val="1"/>
      <w:numFmt w:val="decimal"/>
      <w:lvlText w:val="%1.%2.%3.%4.%5"/>
      <w:lvlJc w:val="left"/>
      <w:pPr>
        <w:ind w:left="0" w:firstLine="0"/>
      </w:pPr>
    </w:lvl>
    <w:lvl w:ilvl="5" w:tentative="0">
      <w:start w:val="1"/>
      <w:numFmt w:val="decimal"/>
      <w:lvlText w:val="%1.%2.%3.%4.%5.%6"/>
      <w:lvlJc w:val="left"/>
      <w:pPr>
        <w:ind w:left="0" w:firstLine="0"/>
      </w:pPr>
    </w:lvl>
    <w:lvl w:ilvl="6" w:tentative="0">
      <w:start w:val="1"/>
      <w:numFmt w:val="decimal"/>
      <w:lvlText w:val="%1.%2.%3.%4.%5.%6.%7"/>
      <w:lvlJc w:val="left"/>
      <w:pPr>
        <w:ind w:left="0" w:firstLine="0"/>
      </w:pPr>
    </w:lvl>
    <w:lvl w:ilvl="7" w:tentative="0">
      <w:start w:val="1"/>
      <w:numFmt w:val="decimal"/>
      <w:lvlText w:val="%1.%2.%3.%4.%5.%6.%7.%8"/>
      <w:lvlJc w:val="left"/>
      <w:pPr>
        <w:ind w:left="0" w:firstLine="0"/>
      </w:pPr>
    </w:lvl>
    <w:lvl w:ilvl="8" w:tentative="0">
      <w:start w:val="1"/>
      <w:numFmt w:val="decimal"/>
      <w:lvlText w:val="%1.%2.%3.%4.%5.%6.%7.%8.%9"/>
      <w:lvlJc w:val="left"/>
      <w:pPr>
        <w:ind w:left="0" w:firstLine="0"/>
      </w:pPr>
    </w:lvl>
  </w:abstractNum>
  <w:abstractNum w:abstractNumId="3">
    <w:nsid w:val="5A26758C"/>
    <w:multiLevelType w:val="singleLevel"/>
    <w:tmpl w:val="5A26758C"/>
    <w:lvl w:ilvl="0" w:tentative="0">
      <w:start w:val="18"/>
      <w:numFmt w:val="decimal"/>
      <w:suff w:val="space"/>
      <w:lvlText w:val="%1."/>
      <w:lvlJc w:val="left"/>
    </w:lvl>
  </w:abstractNum>
  <w:abstractNum w:abstractNumId="4">
    <w:nsid w:val="62687BB6"/>
    <w:multiLevelType w:val="multilevel"/>
    <w:tmpl w:val="62687BB6"/>
    <w:lvl w:ilvl="0" w:tentative="0">
      <w:start w:val="1"/>
      <w:numFmt w:val="decimal"/>
      <w:pStyle w:val="159"/>
      <w:lvlText w:val="附件%1"/>
      <w:lvlJc w:val="left"/>
      <w:pPr>
        <w:ind w:left="3681" w:hanging="420"/>
      </w:pPr>
      <w:rPr>
        <w:sz w:val="30"/>
        <w:szCs w:val="30"/>
      </w:rPr>
    </w:lvl>
    <w:lvl w:ilvl="1" w:tentative="0">
      <w:start w:val="1"/>
      <w:numFmt w:val="lowerLetter"/>
      <w:lvlText w:val="%2)"/>
      <w:lvlJc w:val="left"/>
      <w:pPr>
        <w:ind w:left="983" w:hanging="420"/>
      </w:pPr>
    </w:lvl>
    <w:lvl w:ilvl="2" w:tentative="0">
      <w:start w:val="1"/>
      <w:numFmt w:val="lowerRoman"/>
      <w:lvlText w:val="%3."/>
      <w:lvlJc w:val="right"/>
      <w:pPr>
        <w:ind w:left="1403" w:hanging="420"/>
      </w:pPr>
    </w:lvl>
    <w:lvl w:ilvl="3" w:tentative="0">
      <w:start w:val="1"/>
      <w:numFmt w:val="decimal"/>
      <w:lvlText w:val="%4."/>
      <w:lvlJc w:val="left"/>
      <w:pPr>
        <w:ind w:left="1823" w:hanging="420"/>
      </w:pPr>
    </w:lvl>
    <w:lvl w:ilvl="4" w:tentative="0">
      <w:start w:val="1"/>
      <w:numFmt w:val="lowerLetter"/>
      <w:lvlText w:val="%5)"/>
      <w:lvlJc w:val="left"/>
      <w:pPr>
        <w:ind w:left="2243" w:hanging="420"/>
      </w:pPr>
    </w:lvl>
    <w:lvl w:ilvl="5" w:tentative="0">
      <w:start w:val="1"/>
      <w:numFmt w:val="lowerRoman"/>
      <w:lvlText w:val="%6."/>
      <w:lvlJc w:val="right"/>
      <w:pPr>
        <w:ind w:left="2663" w:hanging="420"/>
      </w:pPr>
    </w:lvl>
    <w:lvl w:ilvl="6" w:tentative="0">
      <w:start w:val="1"/>
      <w:numFmt w:val="decimal"/>
      <w:lvlText w:val="%7."/>
      <w:lvlJc w:val="left"/>
      <w:pPr>
        <w:ind w:left="3083" w:hanging="420"/>
      </w:pPr>
    </w:lvl>
    <w:lvl w:ilvl="7" w:tentative="0">
      <w:start w:val="1"/>
      <w:numFmt w:val="lowerLetter"/>
      <w:lvlText w:val="%8)"/>
      <w:lvlJc w:val="left"/>
      <w:pPr>
        <w:ind w:left="3503" w:hanging="420"/>
      </w:pPr>
    </w:lvl>
    <w:lvl w:ilvl="8" w:tentative="0">
      <w:start w:val="1"/>
      <w:numFmt w:val="lowerRoman"/>
      <w:lvlText w:val="%9."/>
      <w:lvlJc w:val="right"/>
      <w:pPr>
        <w:ind w:left="3923" w:hanging="420"/>
      </w:pPr>
    </w:lvl>
  </w:abstractNum>
  <w:abstractNum w:abstractNumId="5">
    <w:nsid w:val="6E87019F"/>
    <w:multiLevelType w:val="multilevel"/>
    <w:tmpl w:val="6E87019F"/>
    <w:lvl w:ilvl="0" w:tentative="0">
      <w:start w:val="1"/>
      <w:numFmt w:val="chineseCountingThousand"/>
      <w:pStyle w:val="150"/>
      <w:lvlText w:val="%1、"/>
      <w:lvlJc w:val="left"/>
      <w:pPr>
        <w:ind w:left="425" w:hanging="425"/>
      </w:pPr>
    </w:lvl>
    <w:lvl w:ilvl="1" w:tentative="0">
      <w:start w:val="1"/>
      <w:numFmt w:val="decimal"/>
      <w:lvlText w:val="%1.%2"/>
      <w:lvlJc w:val="left"/>
      <w:pPr>
        <w:ind w:left="992" w:hanging="567"/>
      </w:pPr>
    </w:lvl>
    <w:lvl w:ilvl="2" w:tentative="0">
      <w:start w:val="1"/>
      <w:numFmt w:val="decimal"/>
      <w:lvlText w:val="%1.%2.%3"/>
      <w:lvlJc w:val="left"/>
      <w:pPr>
        <w:ind w:left="1418" w:hanging="567"/>
      </w:pPr>
    </w:lvl>
    <w:lvl w:ilvl="3" w:tentative="0">
      <w:start w:val="1"/>
      <w:numFmt w:val="decimal"/>
      <w:lvlText w:val="%1.%2.%3.%4"/>
      <w:lvlJc w:val="left"/>
      <w:pPr>
        <w:ind w:left="1984" w:hanging="708"/>
      </w:pPr>
    </w:lvl>
    <w:lvl w:ilvl="4" w:tentative="0">
      <w:start w:val="1"/>
      <w:numFmt w:val="decimal"/>
      <w:lvlText w:val="%1.%2.%3.%4.%5"/>
      <w:lvlJc w:val="left"/>
      <w:pPr>
        <w:ind w:left="2551" w:hanging="850"/>
      </w:pPr>
    </w:lvl>
    <w:lvl w:ilvl="5" w:tentative="0">
      <w:start w:val="1"/>
      <w:numFmt w:val="decimal"/>
      <w:lvlText w:val="%1.%2.%3.%4.%5.%6"/>
      <w:lvlJc w:val="left"/>
      <w:pPr>
        <w:ind w:left="3260" w:hanging="1134"/>
      </w:pPr>
    </w:lvl>
    <w:lvl w:ilvl="6" w:tentative="0">
      <w:start w:val="1"/>
      <w:numFmt w:val="decimal"/>
      <w:lvlText w:val="%1.%2.%3.%4.%5.%6.%7"/>
      <w:lvlJc w:val="left"/>
      <w:pPr>
        <w:ind w:left="3827" w:hanging="1276"/>
      </w:pPr>
    </w:lvl>
    <w:lvl w:ilvl="7" w:tentative="0">
      <w:start w:val="1"/>
      <w:numFmt w:val="decimal"/>
      <w:lvlText w:val="%1.%2.%3.%4.%5.%6.%7.%8"/>
      <w:lvlJc w:val="left"/>
      <w:pPr>
        <w:ind w:left="4394" w:hanging="1418"/>
      </w:pPr>
    </w:lvl>
    <w:lvl w:ilvl="8" w:tentative="0">
      <w:start w:val="1"/>
      <w:numFmt w:val="decimal"/>
      <w:lvlText w:val="%1.%2.%3.%4.%5.%6.%7.%8.%9"/>
      <w:lvlJc w:val="left"/>
      <w:pPr>
        <w:ind w:left="5102" w:hanging="1700"/>
      </w:pPr>
    </w:lvl>
  </w:abstractNum>
  <w:num w:numId="1">
    <w:abstractNumId w:val="5"/>
  </w:num>
  <w:num w:numId="2">
    <w:abstractNumId w:val="2"/>
  </w:num>
  <w:num w:numId="3">
    <w:abstractNumId w:val="0"/>
    <w:lvlOverride w:ilvl="0">
      <w:lvl w:ilvl="0" w:tentative="1">
        <w:start w:val="1"/>
        <w:numFmt w:val="decimal"/>
        <w:lvlText w:val="第%1条"/>
        <w:lvlJc w:val="left"/>
        <w:pPr>
          <w:ind w:left="0" w:firstLine="0"/>
        </w:pPr>
      </w:lvl>
    </w:lvlOverride>
    <w:lvlOverride w:ilvl="1">
      <w:lvl w:ilvl="1" w:tentative="1">
        <w:start w:val="1"/>
        <w:numFmt w:val="decimal"/>
        <w:pStyle w:val="154"/>
        <w:lvlText w:val="%1.%2"/>
        <w:lvlJc w:val="left"/>
        <w:pPr>
          <w:ind w:left="1843" w:firstLine="0"/>
        </w:pPr>
      </w:lvl>
    </w:lvlOverride>
    <w:lvlOverride w:ilvl="2">
      <w:lvl w:ilvl="2" w:tentative="1">
        <w:start w:val="1"/>
        <w:numFmt w:val="decimal"/>
        <w:pStyle w:val="155"/>
        <w:lvlText w:val="%1.%2.%3"/>
        <w:lvlJc w:val="left"/>
        <w:pPr>
          <w:ind w:left="2126" w:firstLine="0"/>
        </w:pPr>
      </w:lvl>
    </w:lvlOverride>
    <w:lvlOverride w:ilvl="3">
      <w:lvl w:ilvl="3" w:tentative="1">
        <w:start w:val="1"/>
        <w:numFmt w:val="decimal"/>
        <w:pStyle w:val="156"/>
        <w:lvlText w:val="%1.%2.%3.%4"/>
        <w:lvlJc w:val="left"/>
        <w:pPr>
          <w:ind w:left="710" w:firstLine="0"/>
        </w:pPr>
      </w:lvl>
    </w:lvlOverride>
    <w:lvlOverride w:ilvl="4">
      <w:lvl w:ilvl="4" w:tentative="1">
        <w:start w:val="1"/>
        <w:numFmt w:val="decimal"/>
        <w:pStyle w:val="157"/>
        <w:lvlText w:val="%1.%2.%3.%4.%5"/>
        <w:lvlJc w:val="left"/>
        <w:pPr>
          <w:ind w:left="0" w:firstLine="0"/>
        </w:pPr>
      </w:lvl>
    </w:lvlOverride>
    <w:lvlOverride w:ilvl="5">
      <w:lvl w:ilvl="5" w:tentative="1">
        <w:start w:val="1"/>
        <w:numFmt w:val="decimal"/>
        <w:lvlText w:val="%1.%2.%3.%4.%5.%6"/>
        <w:lvlJc w:val="left"/>
        <w:pPr>
          <w:ind w:left="0" w:firstLine="0"/>
        </w:pPr>
      </w:lvl>
    </w:lvlOverride>
    <w:lvlOverride w:ilvl="6">
      <w:lvl w:ilvl="6" w:tentative="1">
        <w:start w:val="1"/>
        <w:numFmt w:val="decimal"/>
        <w:lvlText w:val="%1.%2.%3.%4.%5.%6.%7"/>
        <w:lvlJc w:val="left"/>
        <w:pPr>
          <w:ind w:left="0" w:firstLine="0"/>
        </w:pPr>
      </w:lvl>
    </w:lvlOverride>
    <w:lvlOverride w:ilvl="7">
      <w:lvl w:ilvl="7" w:tentative="1">
        <w:start w:val="1"/>
        <w:numFmt w:val="decimal"/>
        <w:lvlText w:val="%1.%2.%3.%4.%5.%6.%7.%8"/>
        <w:lvlJc w:val="left"/>
        <w:pPr>
          <w:ind w:left="0" w:firstLine="0"/>
        </w:pPr>
      </w:lvl>
    </w:lvlOverride>
    <w:lvlOverride w:ilvl="8">
      <w:lvl w:ilvl="8" w:tentative="1">
        <w:start w:val="1"/>
        <w:numFmt w:val="decimal"/>
        <w:lvlText w:val="%1.%2.%3.%4.%5.%6.%7.%8.%9"/>
        <w:lvlJc w:val="left"/>
        <w:pPr>
          <w:ind w:left="0" w:firstLine="0"/>
        </w:pPr>
      </w:lvl>
    </w:lvlOverride>
  </w:num>
  <w:num w:numId="4">
    <w:abstractNumId w:val="4"/>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bordersDoNotSurroundHeader w:val="0"/>
  <w:bordersDoNotSurroundFooter w:val="0"/>
  <w:documentProtection w:enforcement="0"/>
  <w:defaultTabStop w:val="420"/>
  <w:drawingGridHorizontalSpacing w:val="210"/>
  <w:drawingGridVerticalSpacing w:val="156"/>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RjOTdlMTBmNDM5ZGFmZDU1MmEwODJjYWRiYjhlYzQifQ=="/>
  </w:docVars>
  <w:rsids>
    <w:rsidRoot w:val="00172A27"/>
    <w:rsid w:val="000006F8"/>
    <w:rsid w:val="000019DD"/>
    <w:rsid w:val="00001A6A"/>
    <w:rsid w:val="000025D2"/>
    <w:rsid w:val="00004102"/>
    <w:rsid w:val="00005015"/>
    <w:rsid w:val="0000708B"/>
    <w:rsid w:val="000074F9"/>
    <w:rsid w:val="000076BE"/>
    <w:rsid w:val="00007CAC"/>
    <w:rsid w:val="00014503"/>
    <w:rsid w:val="00016747"/>
    <w:rsid w:val="00017C11"/>
    <w:rsid w:val="0002374F"/>
    <w:rsid w:val="000242B0"/>
    <w:rsid w:val="00025FAC"/>
    <w:rsid w:val="00027CC5"/>
    <w:rsid w:val="00027E96"/>
    <w:rsid w:val="000311E2"/>
    <w:rsid w:val="00031FC5"/>
    <w:rsid w:val="00032CD5"/>
    <w:rsid w:val="00032DD2"/>
    <w:rsid w:val="00032DDA"/>
    <w:rsid w:val="0003383D"/>
    <w:rsid w:val="00033DA4"/>
    <w:rsid w:val="0003467D"/>
    <w:rsid w:val="00035B4B"/>
    <w:rsid w:val="00036EEE"/>
    <w:rsid w:val="00042ED4"/>
    <w:rsid w:val="0005312F"/>
    <w:rsid w:val="0005325E"/>
    <w:rsid w:val="00053D0C"/>
    <w:rsid w:val="0005681E"/>
    <w:rsid w:val="00060A45"/>
    <w:rsid w:val="00065392"/>
    <w:rsid w:val="00065449"/>
    <w:rsid w:val="00066DDC"/>
    <w:rsid w:val="00066E07"/>
    <w:rsid w:val="00070BA7"/>
    <w:rsid w:val="0007120F"/>
    <w:rsid w:val="00073BA3"/>
    <w:rsid w:val="00073DA9"/>
    <w:rsid w:val="000745E0"/>
    <w:rsid w:val="00074A2B"/>
    <w:rsid w:val="00075F65"/>
    <w:rsid w:val="0007766A"/>
    <w:rsid w:val="000776F5"/>
    <w:rsid w:val="0008096E"/>
    <w:rsid w:val="00081F0E"/>
    <w:rsid w:val="00083D40"/>
    <w:rsid w:val="0008465A"/>
    <w:rsid w:val="00091E1B"/>
    <w:rsid w:val="0009469D"/>
    <w:rsid w:val="00096050"/>
    <w:rsid w:val="000A2391"/>
    <w:rsid w:val="000A51AA"/>
    <w:rsid w:val="000A64B4"/>
    <w:rsid w:val="000A66AC"/>
    <w:rsid w:val="000A6D1A"/>
    <w:rsid w:val="000B17AB"/>
    <w:rsid w:val="000B23BF"/>
    <w:rsid w:val="000B46B7"/>
    <w:rsid w:val="000B48A4"/>
    <w:rsid w:val="000B63B7"/>
    <w:rsid w:val="000B783F"/>
    <w:rsid w:val="000C13B0"/>
    <w:rsid w:val="000C22F9"/>
    <w:rsid w:val="000C461C"/>
    <w:rsid w:val="000C5311"/>
    <w:rsid w:val="000C591C"/>
    <w:rsid w:val="000C751F"/>
    <w:rsid w:val="000C7E9F"/>
    <w:rsid w:val="000D007B"/>
    <w:rsid w:val="000D1481"/>
    <w:rsid w:val="000D2229"/>
    <w:rsid w:val="000D24D9"/>
    <w:rsid w:val="000D2A11"/>
    <w:rsid w:val="000D4117"/>
    <w:rsid w:val="000D4A00"/>
    <w:rsid w:val="000D5F17"/>
    <w:rsid w:val="000D6003"/>
    <w:rsid w:val="000E017C"/>
    <w:rsid w:val="000E1352"/>
    <w:rsid w:val="000E3A46"/>
    <w:rsid w:val="000E3CEE"/>
    <w:rsid w:val="000E576D"/>
    <w:rsid w:val="000E673E"/>
    <w:rsid w:val="000E69F1"/>
    <w:rsid w:val="000F1D4E"/>
    <w:rsid w:val="000F31DE"/>
    <w:rsid w:val="000F3B7D"/>
    <w:rsid w:val="000F4F42"/>
    <w:rsid w:val="000F7C54"/>
    <w:rsid w:val="000F7FA9"/>
    <w:rsid w:val="001033DB"/>
    <w:rsid w:val="00106CF4"/>
    <w:rsid w:val="00107393"/>
    <w:rsid w:val="00111132"/>
    <w:rsid w:val="001119A3"/>
    <w:rsid w:val="00114A84"/>
    <w:rsid w:val="00114C0E"/>
    <w:rsid w:val="001159E1"/>
    <w:rsid w:val="00121D79"/>
    <w:rsid w:val="001235F0"/>
    <w:rsid w:val="0012366A"/>
    <w:rsid w:val="00126204"/>
    <w:rsid w:val="001338B5"/>
    <w:rsid w:val="00134144"/>
    <w:rsid w:val="00136773"/>
    <w:rsid w:val="001401A0"/>
    <w:rsid w:val="00141EE1"/>
    <w:rsid w:val="0014227C"/>
    <w:rsid w:val="00142CEF"/>
    <w:rsid w:val="001433B2"/>
    <w:rsid w:val="00144200"/>
    <w:rsid w:val="00146A72"/>
    <w:rsid w:val="0014748D"/>
    <w:rsid w:val="001474BD"/>
    <w:rsid w:val="00147BE2"/>
    <w:rsid w:val="00150265"/>
    <w:rsid w:val="00150A25"/>
    <w:rsid w:val="0015360A"/>
    <w:rsid w:val="00154CA5"/>
    <w:rsid w:val="00155C38"/>
    <w:rsid w:val="0015648F"/>
    <w:rsid w:val="00157034"/>
    <w:rsid w:val="001600AF"/>
    <w:rsid w:val="001608F1"/>
    <w:rsid w:val="00160ABC"/>
    <w:rsid w:val="001640D5"/>
    <w:rsid w:val="00166275"/>
    <w:rsid w:val="00167199"/>
    <w:rsid w:val="00167383"/>
    <w:rsid w:val="00172A27"/>
    <w:rsid w:val="00174BB6"/>
    <w:rsid w:val="00175B2A"/>
    <w:rsid w:val="00176028"/>
    <w:rsid w:val="001777D1"/>
    <w:rsid w:val="001809D6"/>
    <w:rsid w:val="00184247"/>
    <w:rsid w:val="00186002"/>
    <w:rsid w:val="00186489"/>
    <w:rsid w:val="001904E4"/>
    <w:rsid w:val="00191393"/>
    <w:rsid w:val="001915B8"/>
    <w:rsid w:val="00194E58"/>
    <w:rsid w:val="001961F8"/>
    <w:rsid w:val="00197E10"/>
    <w:rsid w:val="001A02FF"/>
    <w:rsid w:val="001A293E"/>
    <w:rsid w:val="001A3B8B"/>
    <w:rsid w:val="001A40E7"/>
    <w:rsid w:val="001A59A5"/>
    <w:rsid w:val="001A774F"/>
    <w:rsid w:val="001B016D"/>
    <w:rsid w:val="001B05F7"/>
    <w:rsid w:val="001B2853"/>
    <w:rsid w:val="001B2DDF"/>
    <w:rsid w:val="001B36FA"/>
    <w:rsid w:val="001B64C5"/>
    <w:rsid w:val="001B6860"/>
    <w:rsid w:val="001B788D"/>
    <w:rsid w:val="001B78DC"/>
    <w:rsid w:val="001C0046"/>
    <w:rsid w:val="001C0D87"/>
    <w:rsid w:val="001C3424"/>
    <w:rsid w:val="001C374B"/>
    <w:rsid w:val="001C4739"/>
    <w:rsid w:val="001D0165"/>
    <w:rsid w:val="001D09DC"/>
    <w:rsid w:val="001D2101"/>
    <w:rsid w:val="001D63EB"/>
    <w:rsid w:val="001D70AD"/>
    <w:rsid w:val="001E0AE9"/>
    <w:rsid w:val="001E24E6"/>
    <w:rsid w:val="001E25E9"/>
    <w:rsid w:val="001E3EE5"/>
    <w:rsid w:val="001E4E6F"/>
    <w:rsid w:val="001E5537"/>
    <w:rsid w:val="001E6D01"/>
    <w:rsid w:val="001E7A72"/>
    <w:rsid w:val="001F1165"/>
    <w:rsid w:val="001F1933"/>
    <w:rsid w:val="0020002F"/>
    <w:rsid w:val="00201CFB"/>
    <w:rsid w:val="002032AB"/>
    <w:rsid w:val="002065E0"/>
    <w:rsid w:val="002072B8"/>
    <w:rsid w:val="00211284"/>
    <w:rsid w:val="00213E06"/>
    <w:rsid w:val="00214E3E"/>
    <w:rsid w:val="00215EC3"/>
    <w:rsid w:val="00216262"/>
    <w:rsid w:val="00220077"/>
    <w:rsid w:val="0022664D"/>
    <w:rsid w:val="00226966"/>
    <w:rsid w:val="00230F1A"/>
    <w:rsid w:val="002315C6"/>
    <w:rsid w:val="002328EC"/>
    <w:rsid w:val="002336D7"/>
    <w:rsid w:val="00233BC7"/>
    <w:rsid w:val="00234A63"/>
    <w:rsid w:val="002358BD"/>
    <w:rsid w:val="0023662A"/>
    <w:rsid w:val="00236793"/>
    <w:rsid w:val="00236919"/>
    <w:rsid w:val="00236C7F"/>
    <w:rsid w:val="00240AD0"/>
    <w:rsid w:val="00240FA7"/>
    <w:rsid w:val="002453D7"/>
    <w:rsid w:val="00247105"/>
    <w:rsid w:val="00250EBB"/>
    <w:rsid w:val="002518EC"/>
    <w:rsid w:val="00251D1C"/>
    <w:rsid w:val="00253C28"/>
    <w:rsid w:val="002543D3"/>
    <w:rsid w:val="00254726"/>
    <w:rsid w:val="00255AD6"/>
    <w:rsid w:val="0025661D"/>
    <w:rsid w:val="00257596"/>
    <w:rsid w:val="00260D30"/>
    <w:rsid w:val="00261792"/>
    <w:rsid w:val="00261BE0"/>
    <w:rsid w:val="002626A3"/>
    <w:rsid w:val="00262C58"/>
    <w:rsid w:val="00264726"/>
    <w:rsid w:val="00264EE7"/>
    <w:rsid w:val="00265F01"/>
    <w:rsid w:val="0027080A"/>
    <w:rsid w:val="0027093F"/>
    <w:rsid w:val="002722B6"/>
    <w:rsid w:val="00272E65"/>
    <w:rsid w:val="00274738"/>
    <w:rsid w:val="002753F4"/>
    <w:rsid w:val="00275BC4"/>
    <w:rsid w:val="00277173"/>
    <w:rsid w:val="00277E16"/>
    <w:rsid w:val="002801BE"/>
    <w:rsid w:val="002806DF"/>
    <w:rsid w:val="00281DFB"/>
    <w:rsid w:val="00283347"/>
    <w:rsid w:val="0028491D"/>
    <w:rsid w:val="00284996"/>
    <w:rsid w:val="002863EF"/>
    <w:rsid w:val="002869E7"/>
    <w:rsid w:val="00286D29"/>
    <w:rsid w:val="002940CF"/>
    <w:rsid w:val="00295688"/>
    <w:rsid w:val="0029756E"/>
    <w:rsid w:val="002A079C"/>
    <w:rsid w:val="002A1C0C"/>
    <w:rsid w:val="002A27C0"/>
    <w:rsid w:val="002B1A2C"/>
    <w:rsid w:val="002B4F9B"/>
    <w:rsid w:val="002B54F5"/>
    <w:rsid w:val="002B7744"/>
    <w:rsid w:val="002C67B5"/>
    <w:rsid w:val="002D2C69"/>
    <w:rsid w:val="002D36F3"/>
    <w:rsid w:val="002D3F46"/>
    <w:rsid w:val="002D6829"/>
    <w:rsid w:val="002D6915"/>
    <w:rsid w:val="002D7CE3"/>
    <w:rsid w:val="002E0355"/>
    <w:rsid w:val="002E0B54"/>
    <w:rsid w:val="002E24C0"/>
    <w:rsid w:val="002E5BF8"/>
    <w:rsid w:val="002E63D5"/>
    <w:rsid w:val="002E6F87"/>
    <w:rsid w:val="002E7918"/>
    <w:rsid w:val="002F02E3"/>
    <w:rsid w:val="002F37B9"/>
    <w:rsid w:val="002F7871"/>
    <w:rsid w:val="0030119E"/>
    <w:rsid w:val="003012FD"/>
    <w:rsid w:val="0030306D"/>
    <w:rsid w:val="00305343"/>
    <w:rsid w:val="0030698E"/>
    <w:rsid w:val="0030717A"/>
    <w:rsid w:val="0030739A"/>
    <w:rsid w:val="003075D0"/>
    <w:rsid w:val="0031322C"/>
    <w:rsid w:val="003170B7"/>
    <w:rsid w:val="003171E7"/>
    <w:rsid w:val="00317397"/>
    <w:rsid w:val="0032152C"/>
    <w:rsid w:val="00322431"/>
    <w:rsid w:val="00323533"/>
    <w:rsid w:val="00324808"/>
    <w:rsid w:val="00326CB9"/>
    <w:rsid w:val="00327930"/>
    <w:rsid w:val="00331363"/>
    <w:rsid w:val="00332850"/>
    <w:rsid w:val="00332C2C"/>
    <w:rsid w:val="003338AC"/>
    <w:rsid w:val="00334FE3"/>
    <w:rsid w:val="00335E25"/>
    <w:rsid w:val="0033646C"/>
    <w:rsid w:val="00341244"/>
    <w:rsid w:val="003420ED"/>
    <w:rsid w:val="00343B72"/>
    <w:rsid w:val="00343F42"/>
    <w:rsid w:val="0034450A"/>
    <w:rsid w:val="00344AC3"/>
    <w:rsid w:val="00344E00"/>
    <w:rsid w:val="00350244"/>
    <w:rsid w:val="003512C4"/>
    <w:rsid w:val="00352E35"/>
    <w:rsid w:val="00352EE8"/>
    <w:rsid w:val="003533EA"/>
    <w:rsid w:val="00353DEB"/>
    <w:rsid w:val="003547B1"/>
    <w:rsid w:val="00357151"/>
    <w:rsid w:val="003571F5"/>
    <w:rsid w:val="003604C1"/>
    <w:rsid w:val="0036199D"/>
    <w:rsid w:val="00364FAD"/>
    <w:rsid w:val="003660B2"/>
    <w:rsid w:val="00366D89"/>
    <w:rsid w:val="00367DF8"/>
    <w:rsid w:val="00367E0B"/>
    <w:rsid w:val="0037219A"/>
    <w:rsid w:val="003729A5"/>
    <w:rsid w:val="00372F2C"/>
    <w:rsid w:val="00374F59"/>
    <w:rsid w:val="00375127"/>
    <w:rsid w:val="00375D4A"/>
    <w:rsid w:val="003775CD"/>
    <w:rsid w:val="003777EA"/>
    <w:rsid w:val="00377936"/>
    <w:rsid w:val="00383AE0"/>
    <w:rsid w:val="00383FAD"/>
    <w:rsid w:val="00384417"/>
    <w:rsid w:val="00385366"/>
    <w:rsid w:val="00385A1D"/>
    <w:rsid w:val="003926A7"/>
    <w:rsid w:val="00392C5B"/>
    <w:rsid w:val="003936C8"/>
    <w:rsid w:val="00394E5F"/>
    <w:rsid w:val="00396868"/>
    <w:rsid w:val="00397041"/>
    <w:rsid w:val="003A13AA"/>
    <w:rsid w:val="003A1FAD"/>
    <w:rsid w:val="003A24DC"/>
    <w:rsid w:val="003A56C5"/>
    <w:rsid w:val="003A7888"/>
    <w:rsid w:val="003B0BF9"/>
    <w:rsid w:val="003B15B6"/>
    <w:rsid w:val="003B3CC6"/>
    <w:rsid w:val="003B3FD3"/>
    <w:rsid w:val="003B6C0A"/>
    <w:rsid w:val="003B72D9"/>
    <w:rsid w:val="003C0A6E"/>
    <w:rsid w:val="003C4469"/>
    <w:rsid w:val="003C5B2E"/>
    <w:rsid w:val="003D022A"/>
    <w:rsid w:val="003D1673"/>
    <w:rsid w:val="003D25D7"/>
    <w:rsid w:val="003D2B68"/>
    <w:rsid w:val="003D5596"/>
    <w:rsid w:val="003D5D3C"/>
    <w:rsid w:val="003D71B4"/>
    <w:rsid w:val="003E0AC3"/>
    <w:rsid w:val="003E1E8C"/>
    <w:rsid w:val="003E20C2"/>
    <w:rsid w:val="003E3995"/>
    <w:rsid w:val="003E5872"/>
    <w:rsid w:val="003F2CEF"/>
    <w:rsid w:val="003F2F26"/>
    <w:rsid w:val="003F35F1"/>
    <w:rsid w:val="003F3C15"/>
    <w:rsid w:val="003F430F"/>
    <w:rsid w:val="003F6964"/>
    <w:rsid w:val="003F6D1F"/>
    <w:rsid w:val="00405218"/>
    <w:rsid w:val="00405975"/>
    <w:rsid w:val="00410A64"/>
    <w:rsid w:val="00410D2D"/>
    <w:rsid w:val="00412F04"/>
    <w:rsid w:val="00413245"/>
    <w:rsid w:val="00414B2A"/>
    <w:rsid w:val="00415295"/>
    <w:rsid w:val="00415C3D"/>
    <w:rsid w:val="00415F6B"/>
    <w:rsid w:val="00422D2A"/>
    <w:rsid w:val="0042670A"/>
    <w:rsid w:val="00431A30"/>
    <w:rsid w:val="00431EBC"/>
    <w:rsid w:val="00432693"/>
    <w:rsid w:val="0043423D"/>
    <w:rsid w:val="004364F6"/>
    <w:rsid w:val="004377A3"/>
    <w:rsid w:val="00440781"/>
    <w:rsid w:val="00441EDF"/>
    <w:rsid w:val="00444EF9"/>
    <w:rsid w:val="00451052"/>
    <w:rsid w:val="00451663"/>
    <w:rsid w:val="00452C04"/>
    <w:rsid w:val="004530F3"/>
    <w:rsid w:val="00453E84"/>
    <w:rsid w:val="004549D8"/>
    <w:rsid w:val="00457595"/>
    <w:rsid w:val="004621FC"/>
    <w:rsid w:val="004629AF"/>
    <w:rsid w:val="00462AC1"/>
    <w:rsid w:val="00463527"/>
    <w:rsid w:val="00467FE3"/>
    <w:rsid w:val="00471F01"/>
    <w:rsid w:val="00472E2D"/>
    <w:rsid w:val="004733C3"/>
    <w:rsid w:val="004752DB"/>
    <w:rsid w:val="00486AE3"/>
    <w:rsid w:val="00487C21"/>
    <w:rsid w:val="00494DA1"/>
    <w:rsid w:val="00494F57"/>
    <w:rsid w:val="004951D0"/>
    <w:rsid w:val="0049566D"/>
    <w:rsid w:val="00496602"/>
    <w:rsid w:val="004A0BF8"/>
    <w:rsid w:val="004A14F0"/>
    <w:rsid w:val="004A325A"/>
    <w:rsid w:val="004A39DD"/>
    <w:rsid w:val="004A3DE7"/>
    <w:rsid w:val="004A6CA9"/>
    <w:rsid w:val="004B06DB"/>
    <w:rsid w:val="004B0FF8"/>
    <w:rsid w:val="004B1422"/>
    <w:rsid w:val="004C0A37"/>
    <w:rsid w:val="004C4077"/>
    <w:rsid w:val="004C4371"/>
    <w:rsid w:val="004D1CEE"/>
    <w:rsid w:val="004D24F9"/>
    <w:rsid w:val="004D3B87"/>
    <w:rsid w:val="004D577C"/>
    <w:rsid w:val="004D75B1"/>
    <w:rsid w:val="004D7970"/>
    <w:rsid w:val="004D7C5D"/>
    <w:rsid w:val="004E0B0A"/>
    <w:rsid w:val="004E1AA3"/>
    <w:rsid w:val="004E1D55"/>
    <w:rsid w:val="004E5778"/>
    <w:rsid w:val="004F3781"/>
    <w:rsid w:val="004F5B09"/>
    <w:rsid w:val="004F67B0"/>
    <w:rsid w:val="00500138"/>
    <w:rsid w:val="00500FA8"/>
    <w:rsid w:val="005015CD"/>
    <w:rsid w:val="005032CE"/>
    <w:rsid w:val="005057F5"/>
    <w:rsid w:val="0050634A"/>
    <w:rsid w:val="00506F62"/>
    <w:rsid w:val="00507B0B"/>
    <w:rsid w:val="00507B62"/>
    <w:rsid w:val="005105A2"/>
    <w:rsid w:val="005126C3"/>
    <w:rsid w:val="00515838"/>
    <w:rsid w:val="00520733"/>
    <w:rsid w:val="00522816"/>
    <w:rsid w:val="00523147"/>
    <w:rsid w:val="005239C2"/>
    <w:rsid w:val="005261D2"/>
    <w:rsid w:val="00526246"/>
    <w:rsid w:val="00527714"/>
    <w:rsid w:val="00530140"/>
    <w:rsid w:val="00530371"/>
    <w:rsid w:val="0053258D"/>
    <w:rsid w:val="00532D82"/>
    <w:rsid w:val="00533943"/>
    <w:rsid w:val="00534399"/>
    <w:rsid w:val="00534AEE"/>
    <w:rsid w:val="005367A8"/>
    <w:rsid w:val="0053718D"/>
    <w:rsid w:val="00543315"/>
    <w:rsid w:val="005434BB"/>
    <w:rsid w:val="005444F8"/>
    <w:rsid w:val="00544954"/>
    <w:rsid w:val="0054594B"/>
    <w:rsid w:val="005468A4"/>
    <w:rsid w:val="00547ED8"/>
    <w:rsid w:val="00550F69"/>
    <w:rsid w:val="00553000"/>
    <w:rsid w:val="00553145"/>
    <w:rsid w:val="005547F3"/>
    <w:rsid w:val="00555798"/>
    <w:rsid w:val="00555909"/>
    <w:rsid w:val="00556122"/>
    <w:rsid w:val="00557B18"/>
    <w:rsid w:val="00560237"/>
    <w:rsid w:val="00560CD3"/>
    <w:rsid w:val="0056385F"/>
    <w:rsid w:val="00564D33"/>
    <w:rsid w:val="0057145F"/>
    <w:rsid w:val="005744AC"/>
    <w:rsid w:val="00574E20"/>
    <w:rsid w:val="005804E6"/>
    <w:rsid w:val="005807C4"/>
    <w:rsid w:val="00580CE7"/>
    <w:rsid w:val="00581626"/>
    <w:rsid w:val="005840B3"/>
    <w:rsid w:val="005849C6"/>
    <w:rsid w:val="005858D3"/>
    <w:rsid w:val="00585B55"/>
    <w:rsid w:val="00587976"/>
    <w:rsid w:val="00590389"/>
    <w:rsid w:val="0059106F"/>
    <w:rsid w:val="0059603A"/>
    <w:rsid w:val="00596D2A"/>
    <w:rsid w:val="005A1C16"/>
    <w:rsid w:val="005A354C"/>
    <w:rsid w:val="005A44EF"/>
    <w:rsid w:val="005A4BED"/>
    <w:rsid w:val="005A7867"/>
    <w:rsid w:val="005B06AA"/>
    <w:rsid w:val="005B1C50"/>
    <w:rsid w:val="005B3CD0"/>
    <w:rsid w:val="005B660C"/>
    <w:rsid w:val="005B7454"/>
    <w:rsid w:val="005B756E"/>
    <w:rsid w:val="005B76A8"/>
    <w:rsid w:val="005C0640"/>
    <w:rsid w:val="005C7BCE"/>
    <w:rsid w:val="005D2F38"/>
    <w:rsid w:val="005D5316"/>
    <w:rsid w:val="005E06AD"/>
    <w:rsid w:val="005E0926"/>
    <w:rsid w:val="005E15AF"/>
    <w:rsid w:val="005E22DB"/>
    <w:rsid w:val="005E3253"/>
    <w:rsid w:val="005F3168"/>
    <w:rsid w:val="005F370F"/>
    <w:rsid w:val="005F42B7"/>
    <w:rsid w:val="005F53CC"/>
    <w:rsid w:val="005F556D"/>
    <w:rsid w:val="005F6917"/>
    <w:rsid w:val="005F69B4"/>
    <w:rsid w:val="005F69B9"/>
    <w:rsid w:val="005F6EB1"/>
    <w:rsid w:val="005F7598"/>
    <w:rsid w:val="0060137F"/>
    <w:rsid w:val="00602D05"/>
    <w:rsid w:val="00605C5C"/>
    <w:rsid w:val="00605E9C"/>
    <w:rsid w:val="00607286"/>
    <w:rsid w:val="006072BB"/>
    <w:rsid w:val="0061056C"/>
    <w:rsid w:val="0061192A"/>
    <w:rsid w:val="0061297A"/>
    <w:rsid w:val="0061338F"/>
    <w:rsid w:val="00613A29"/>
    <w:rsid w:val="00614DC5"/>
    <w:rsid w:val="00616D9B"/>
    <w:rsid w:val="0062056F"/>
    <w:rsid w:val="006244B5"/>
    <w:rsid w:val="00625265"/>
    <w:rsid w:val="006326B5"/>
    <w:rsid w:val="00634A7A"/>
    <w:rsid w:val="00636D52"/>
    <w:rsid w:val="00641233"/>
    <w:rsid w:val="00650270"/>
    <w:rsid w:val="00650E59"/>
    <w:rsid w:val="0065127F"/>
    <w:rsid w:val="00651851"/>
    <w:rsid w:val="00652165"/>
    <w:rsid w:val="006566B7"/>
    <w:rsid w:val="00657212"/>
    <w:rsid w:val="00657851"/>
    <w:rsid w:val="00660C78"/>
    <w:rsid w:val="006628F6"/>
    <w:rsid w:val="006630A9"/>
    <w:rsid w:val="006636A0"/>
    <w:rsid w:val="00664B16"/>
    <w:rsid w:val="00664F0C"/>
    <w:rsid w:val="00665CE2"/>
    <w:rsid w:val="0067093C"/>
    <w:rsid w:val="0067216C"/>
    <w:rsid w:val="00672406"/>
    <w:rsid w:val="00672E95"/>
    <w:rsid w:val="00674FDF"/>
    <w:rsid w:val="00677F42"/>
    <w:rsid w:val="0068176A"/>
    <w:rsid w:val="006819F1"/>
    <w:rsid w:val="006828DD"/>
    <w:rsid w:val="006842CC"/>
    <w:rsid w:val="006870CB"/>
    <w:rsid w:val="006917FC"/>
    <w:rsid w:val="00692B57"/>
    <w:rsid w:val="00692DDC"/>
    <w:rsid w:val="00694AB1"/>
    <w:rsid w:val="00697459"/>
    <w:rsid w:val="006A04A8"/>
    <w:rsid w:val="006A0996"/>
    <w:rsid w:val="006A0AFC"/>
    <w:rsid w:val="006A4E12"/>
    <w:rsid w:val="006A547F"/>
    <w:rsid w:val="006A5B3E"/>
    <w:rsid w:val="006B0470"/>
    <w:rsid w:val="006B0AE9"/>
    <w:rsid w:val="006B0C4D"/>
    <w:rsid w:val="006B29CD"/>
    <w:rsid w:val="006B6B08"/>
    <w:rsid w:val="006C0D40"/>
    <w:rsid w:val="006C0F88"/>
    <w:rsid w:val="006C594B"/>
    <w:rsid w:val="006C5F9F"/>
    <w:rsid w:val="006C7341"/>
    <w:rsid w:val="006D1B23"/>
    <w:rsid w:val="006D4247"/>
    <w:rsid w:val="006D50FC"/>
    <w:rsid w:val="006D646F"/>
    <w:rsid w:val="006E04D4"/>
    <w:rsid w:val="006E2B3E"/>
    <w:rsid w:val="006E62DA"/>
    <w:rsid w:val="006E6E5F"/>
    <w:rsid w:val="006F4BBC"/>
    <w:rsid w:val="0070055E"/>
    <w:rsid w:val="00700FD9"/>
    <w:rsid w:val="007014F7"/>
    <w:rsid w:val="00701E75"/>
    <w:rsid w:val="0070200B"/>
    <w:rsid w:val="007032DE"/>
    <w:rsid w:val="0070449B"/>
    <w:rsid w:val="00705054"/>
    <w:rsid w:val="00705B8A"/>
    <w:rsid w:val="00705F73"/>
    <w:rsid w:val="00710D8C"/>
    <w:rsid w:val="00713F2B"/>
    <w:rsid w:val="00714DE5"/>
    <w:rsid w:val="00721E3B"/>
    <w:rsid w:val="00722C04"/>
    <w:rsid w:val="00722C75"/>
    <w:rsid w:val="00723489"/>
    <w:rsid w:val="007240DC"/>
    <w:rsid w:val="0072476E"/>
    <w:rsid w:val="00726D2B"/>
    <w:rsid w:val="00727256"/>
    <w:rsid w:val="007308C5"/>
    <w:rsid w:val="007318E8"/>
    <w:rsid w:val="00731EFF"/>
    <w:rsid w:val="007320C5"/>
    <w:rsid w:val="00733CA1"/>
    <w:rsid w:val="007343B0"/>
    <w:rsid w:val="00735680"/>
    <w:rsid w:val="0073671C"/>
    <w:rsid w:val="007379C3"/>
    <w:rsid w:val="00742C4C"/>
    <w:rsid w:val="00743A51"/>
    <w:rsid w:val="00745EC2"/>
    <w:rsid w:val="00746514"/>
    <w:rsid w:val="00746D11"/>
    <w:rsid w:val="0075194C"/>
    <w:rsid w:val="007524CC"/>
    <w:rsid w:val="00753905"/>
    <w:rsid w:val="00754AEF"/>
    <w:rsid w:val="007559B8"/>
    <w:rsid w:val="007612C6"/>
    <w:rsid w:val="0076512A"/>
    <w:rsid w:val="007651D6"/>
    <w:rsid w:val="007669B6"/>
    <w:rsid w:val="00770157"/>
    <w:rsid w:val="00771EF9"/>
    <w:rsid w:val="00772098"/>
    <w:rsid w:val="00772C94"/>
    <w:rsid w:val="00773537"/>
    <w:rsid w:val="007760B6"/>
    <w:rsid w:val="00780569"/>
    <w:rsid w:val="0078073F"/>
    <w:rsid w:val="007816B1"/>
    <w:rsid w:val="00781B9A"/>
    <w:rsid w:val="007846FC"/>
    <w:rsid w:val="00785333"/>
    <w:rsid w:val="00785F1D"/>
    <w:rsid w:val="007914CA"/>
    <w:rsid w:val="00791688"/>
    <w:rsid w:val="00792C9C"/>
    <w:rsid w:val="00792FA8"/>
    <w:rsid w:val="007932DD"/>
    <w:rsid w:val="0079371C"/>
    <w:rsid w:val="0079515D"/>
    <w:rsid w:val="00795F63"/>
    <w:rsid w:val="007964AE"/>
    <w:rsid w:val="00796E01"/>
    <w:rsid w:val="0079749E"/>
    <w:rsid w:val="007A077A"/>
    <w:rsid w:val="007A149D"/>
    <w:rsid w:val="007A1EF3"/>
    <w:rsid w:val="007A4DFC"/>
    <w:rsid w:val="007A4E7F"/>
    <w:rsid w:val="007A7B62"/>
    <w:rsid w:val="007B0E6F"/>
    <w:rsid w:val="007B15C0"/>
    <w:rsid w:val="007B33DA"/>
    <w:rsid w:val="007B5B79"/>
    <w:rsid w:val="007B73F2"/>
    <w:rsid w:val="007C3CDB"/>
    <w:rsid w:val="007C4DE1"/>
    <w:rsid w:val="007C5B26"/>
    <w:rsid w:val="007C6044"/>
    <w:rsid w:val="007C7C30"/>
    <w:rsid w:val="007D035C"/>
    <w:rsid w:val="007D1994"/>
    <w:rsid w:val="007D1F07"/>
    <w:rsid w:val="007D3D13"/>
    <w:rsid w:val="007D3DB5"/>
    <w:rsid w:val="007D651F"/>
    <w:rsid w:val="007D6E6C"/>
    <w:rsid w:val="007D7425"/>
    <w:rsid w:val="007E09A4"/>
    <w:rsid w:val="007E2118"/>
    <w:rsid w:val="007E345A"/>
    <w:rsid w:val="007E493A"/>
    <w:rsid w:val="007E6D43"/>
    <w:rsid w:val="007F0CC2"/>
    <w:rsid w:val="007F1623"/>
    <w:rsid w:val="007F6F54"/>
    <w:rsid w:val="00800ADA"/>
    <w:rsid w:val="00802820"/>
    <w:rsid w:val="00802953"/>
    <w:rsid w:val="0080368E"/>
    <w:rsid w:val="00804098"/>
    <w:rsid w:val="0080441A"/>
    <w:rsid w:val="008066B9"/>
    <w:rsid w:val="00807450"/>
    <w:rsid w:val="00807B01"/>
    <w:rsid w:val="00807BD0"/>
    <w:rsid w:val="00807D3F"/>
    <w:rsid w:val="00811E4F"/>
    <w:rsid w:val="00813172"/>
    <w:rsid w:val="00813C1F"/>
    <w:rsid w:val="00815EF1"/>
    <w:rsid w:val="00815FF8"/>
    <w:rsid w:val="008167D6"/>
    <w:rsid w:val="00816EDC"/>
    <w:rsid w:val="00816EE2"/>
    <w:rsid w:val="008176EC"/>
    <w:rsid w:val="00822BF6"/>
    <w:rsid w:val="00825571"/>
    <w:rsid w:val="0082687F"/>
    <w:rsid w:val="00827700"/>
    <w:rsid w:val="00830BBE"/>
    <w:rsid w:val="00830D61"/>
    <w:rsid w:val="008320CF"/>
    <w:rsid w:val="0083272B"/>
    <w:rsid w:val="0083457C"/>
    <w:rsid w:val="008357DD"/>
    <w:rsid w:val="00836096"/>
    <w:rsid w:val="008372AF"/>
    <w:rsid w:val="00840166"/>
    <w:rsid w:val="0084301B"/>
    <w:rsid w:val="00845E16"/>
    <w:rsid w:val="00850B09"/>
    <w:rsid w:val="008525B6"/>
    <w:rsid w:val="0085406D"/>
    <w:rsid w:val="008606C4"/>
    <w:rsid w:val="0086166E"/>
    <w:rsid w:val="0086251D"/>
    <w:rsid w:val="00864787"/>
    <w:rsid w:val="00864EDE"/>
    <w:rsid w:val="00865027"/>
    <w:rsid w:val="0086693C"/>
    <w:rsid w:val="00867D71"/>
    <w:rsid w:val="00867EF3"/>
    <w:rsid w:val="0087110B"/>
    <w:rsid w:val="00872B51"/>
    <w:rsid w:val="00872DD4"/>
    <w:rsid w:val="008731FB"/>
    <w:rsid w:val="00875B99"/>
    <w:rsid w:val="008770BE"/>
    <w:rsid w:val="008779D7"/>
    <w:rsid w:val="008802B0"/>
    <w:rsid w:val="00880520"/>
    <w:rsid w:val="00881464"/>
    <w:rsid w:val="00883309"/>
    <w:rsid w:val="008837F0"/>
    <w:rsid w:val="00883E40"/>
    <w:rsid w:val="00887A07"/>
    <w:rsid w:val="00887BFE"/>
    <w:rsid w:val="008919A5"/>
    <w:rsid w:val="00892EBE"/>
    <w:rsid w:val="0089372A"/>
    <w:rsid w:val="0089440A"/>
    <w:rsid w:val="008954A5"/>
    <w:rsid w:val="00896AA1"/>
    <w:rsid w:val="00897B20"/>
    <w:rsid w:val="008A0572"/>
    <w:rsid w:val="008A1827"/>
    <w:rsid w:val="008A389F"/>
    <w:rsid w:val="008A5619"/>
    <w:rsid w:val="008B0BE6"/>
    <w:rsid w:val="008B2DF5"/>
    <w:rsid w:val="008B3A8A"/>
    <w:rsid w:val="008C018A"/>
    <w:rsid w:val="008C0E79"/>
    <w:rsid w:val="008C16B7"/>
    <w:rsid w:val="008C4F7D"/>
    <w:rsid w:val="008C5DD9"/>
    <w:rsid w:val="008D07EC"/>
    <w:rsid w:val="008D281B"/>
    <w:rsid w:val="008D4738"/>
    <w:rsid w:val="008D6643"/>
    <w:rsid w:val="008D74DA"/>
    <w:rsid w:val="008E02AA"/>
    <w:rsid w:val="008E120A"/>
    <w:rsid w:val="008E38C2"/>
    <w:rsid w:val="008E51ED"/>
    <w:rsid w:val="008F101D"/>
    <w:rsid w:val="008F31D8"/>
    <w:rsid w:val="008F50FF"/>
    <w:rsid w:val="008F5764"/>
    <w:rsid w:val="008F5C77"/>
    <w:rsid w:val="008F602D"/>
    <w:rsid w:val="008F6A92"/>
    <w:rsid w:val="008F754B"/>
    <w:rsid w:val="008F75F6"/>
    <w:rsid w:val="0090040B"/>
    <w:rsid w:val="00901898"/>
    <w:rsid w:val="00901EB5"/>
    <w:rsid w:val="009020AA"/>
    <w:rsid w:val="00904401"/>
    <w:rsid w:val="00906817"/>
    <w:rsid w:val="00907C21"/>
    <w:rsid w:val="0091470D"/>
    <w:rsid w:val="00914E16"/>
    <w:rsid w:val="009155C6"/>
    <w:rsid w:val="00915BA3"/>
    <w:rsid w:val="00916027"/>
    <w:rsid w:val="00920750"/>
    <w:rsid w:val="00920EFA"/>
    <w:rsid w:val="009227AE"/>
    <w:rsid w:val="00935B9C"/>
    <w:rsid w:val="00937E04"/>
    <w:rsid w:val="00940205"/>
    <w:rsid w:val="0094138E"/>
    <w:rsid w:val="00941C78"/>
    <w:rsid w:val="00941DAA"/>
    <w:rsid w:val="00944499"/>
    <w:rsid w:val="00945646"/>
    <w:rsid w:val="00945B6D"/>
    <w:rsid w:val="009502FB"/>
    <w:rsid w:val="00952C11"/>
    <w:rsid w:val="00952DA8"/>
    <w:rsid w:val="00960105"/>
    <w:rsid w:val="00962253"/>
    <w:rsid w:val="00963372"/>
    <w:rsid w:val="0096398F"/>
    <w:rsid w:val="00963E93"/>
    <w:rsid w:val="00964D2A"/>
    <w:rsid w:val="009655D0"/>
    <w:rsid w:val="0096581B"/>
    <w:rsid w:val="00970938"/>
    <w:rsid w:val="00971227"/>
    <w:rsid w:val="00971A24"/>
    <w:rsid w:val="00972370"/>
    <w:rsid w:val="009727FA"/>
    <w:rsid w:val="00974FF9"/>
    <w:rsid w:val="00981459"/>
    <w:rsid w:val="009817E3"/>
    <w:rsid w:val="0098641D"/>
    <w:rsid w:val="00986678"/>
    <w:rsid w:val="00986EED"/>
    <w:rsid w:val="00987116"/>
    <w:rsid w:val="009875B4"/>
    <w:rsid w:val="00987ABA"/>
    <w:rsid w:val="009904D9"/>
    <w:rsid w:val="00990B55"/>
    <w:rsid w:val="0099109E"/>
    <w:rsid w:val="0099299A"/>
    <w:rsid w:val="009939B5"/>
    <w:rsid w:val="009948BD"/>
    <w:rsid w:val="009952A0"/>
    <w:rsid w:val="00995C83"/>
    <w:rsid w:val="00996BC2"/>
    <w:rsid w:val="009A0FD9"/>
    <w:rsid w:val="009A28F3"/>
    <w:rsid w:val="009A2D32"/>
    <w:rsid w:val="009A3DC0"/>
    <w:rsid w:val="009A7FFD"/>
    <w:rsid w:val="009B024E"/>
    <w:rsid w:val="009B06D3"/>
    <w:rsid w:val="009B5144"/>
    <w:rsid w:val="009B67C0"/>
    <w:rsid w:val="009B6870"/>
    <w:rsid w:val="009B76D1"/>
    <w:rsid w:val="009C06CF"/>
    <w:rsid w:val="009C0DBF"/>
    <w:rsid w:val="009C1697"/>
    <w:rsid w:val="009C1986"/>
    <w:rsid w:val="009C53FA"/>
    <w:rsid w:val="009C58D7"/>
    <w:rsid w:val="009C7787"/>
    <w:rsid w:val="009D3DFA"/>
    <w:rsid w:val="009D4087"/>
    <w:rsid w:val="009D5330"/>
    <w:rsid w:val="009D5FF1"/>
    <w:rsid w:val="009D7A44"/>
    <w:rsid w:val="009E093D"/>
    <w:rsid w:val="009E1948"/>
    <w:rsid w:val="009E195F"/>
    <w:rsid w:val="009E199B"/>
    <w:rsid w:val="009E389A"/>
    <w:rsid w:val="009E5514"/>
    <w:rsid w:val="009E58A8"/>
    <w:rsid w:val="009E68AD"/>
    <w:rsid w:val="009F1462"/>
    <w:rsid w:val="009F1B1C"/>
    <w:rsid w:val="009F4A08"/>
    <w:rsid w:val="009F4EE3"/>
    <w:rsid w:val="009F5045"/>
    <w:rsid w:val="009F59DD"/>
    <w:rsid w:val="009F5F80"/>
    <w:rsid w:val="009F69C1"/>
    <w:rsid w:val="009F75AA"/>
    <w:rsid w:val="00A006CD"/>
    <w:rsid w:val="00A01A8B"/>
    <w:rsid w:val="00A01EB2"/>
    <w:rsid w:val="00A030CE"/>
    <w:rsid w:val="00A0518C"/>
    <w:rsid w:val="00A10FC1"/>
    <w:rsid w:val="00A125F0"/>
    <w:rsid w:val="00A1466E"/>
    <w:rsid w:val="00A16278"/>
    <w:rsid w:val="00A1629B"/>
    <w:rsid w:val="00A20667"/>
    <w:rsid w:val="00A26E04"/>
    <w:rsid w:val="00A2789E"/>
    <w:rsid w:val="00A308DC"/>
    <w:rsid w:val="00A326A9"/>
    <w:rsid w:val="00A33576"/>
    <w:rsid w:val="00A33BE3"/>
    <w:rsid w:val="00A352DB"/>
    <w:rsid w:val="00A354B3"/>
    <w:rsid w:val="00A36156"/>
    <w:rsid w:val="00A40919"/>
    <w:rsid w:val="00A42231"/>
    <w:rsid w:val="00A42D3F"/>
    <w:rsid w:val="00A47596"/>
    <w:rsid w:val="00A52588"/>
    <w:rsid w:val="00A53874"/>
    <w:rsid w:val="00A53E52"/>
    <w:rsid w:val="00A56D96"/>
    <w:rsid w:val="00A56FC1"/>
    <w:rsid w:val="00A5782C"/>
    <w:rsid w:val="00A6253A"/>
    <w:rsid w:val="00A627FA"/>
    <w:rsid w:val="00A63883"/>
    <w:rsid w:val="00A63FCC"/>
    <w:rsid w:val="00A646ED"/>
    <w:rsid w:val="00A65E18"/>
    <w:rsid w:val="00A67726"/>
    <w:rsid w:val="00A704F7"/>
    <w:rsid w:val="00A75B73"/>
    <w:rsid w:val="00A76178"/>
    <w:rsid w:val="00A76AF0"/>
    <w:rsid w:val="00A8194D"/>
    <w:rsid w:val="00A830FC"/>
    <w:rsid w:val="00A849AE"/>
    <w:rsid w:val="00A84A8D"/>
    <w:rsid w:val="00A85E83"/>
    <w:rsid w:val="00A87C45"/>
    <w:rsid w:val="00A90487"/>
    <w:rsid w:val="00A90D5F"/>
    <w:rsid w:val="00A91512"/>
    <w:rsid w:val="00A91D99"/>
    <w:rsid w:val="00A92633"/>
    <w:rsid w:val="00A96D5A"/>
    <w:rsid w:val="00AA3E16"/>
    <w:rsid w:val="00AB19C0"/>
    <w:rsid w:val="00AB3C1E"/>
    <w:rsid w:val="00AB3D5D"/>
    <w:rsid w:val="00AB446E"/>
    <w:rsid w:val="00AB5E85"/>
    <w:rsid w:val="00AB7124"/>
    <w:rsid w:val="00AC0DD4"/>
    <w:rsid w:val="00AC5713"/>
    <w:rsid w:val="00AC5E0A"/>
    <w:rsid w:val="00AC7A53"/>
    <w:rsid w:val="00AD4159"/>
    <w:rsid w:val="00AD6869"/>
    <w:rsid w:val="00AE01CB"/>
    <w:rsid w:val="00AE1B34"/>
    <w:rsid w:val="00AE2CBE"/>
    <w:rsid w:val="00AE7850"/>
    <w:rsid w:val="00AF1212"/>
    <w:rsid w:val="00AF12CE"/>
    <w:rsid w:val="00AF4043"/>
    <w:rsid w:val="00AF4139"/>
    <w:rsid w:val="00AF5DBF"/>
    <w:rsid w:val="00AF6325"/>
    <w:rsid w:val="00AF7C97"/>
    <w:rsid w:val="00B00604"/>
    <w:rsid w:val="00B02DFB"/>
    <w:rsid w:val="00B05762"/>
    <w:rsid w:val="00B06350"/>
    <w:rsid w:val="00B06D02"/>
    <w:rsid w:val="00B07418"/>
    <w:rsid w:val="00B07A79"/>
    <w:rsid w:val="00B1001E"/>
    <w:rsid w:val="00B10495"/>
    <w:rsid w:val="00B10752"/>
    <w:rsid w:val="00B1100A"/>
    <w:rsid w:val="00B12C34"/>
    <w:rsid w:val="00B13043"/>
    <w:rsid w:val="00B148BC"/>
    <w:rsid w:val="00B14ABC"/>
    <w:rsid w:val="00B1576D"/>
    <w:rsid w:val="00B16D90"/>
    <w:rsid w:val="00B22251"/>
    <w:rsid w:val="00B23610"/>
    <w:rsid w:val="00B252A5"/>
    <w:rsid w:val="00B25C71"/>
    <w:rsid w:val="00B26140"/>
    <w:rsid w:val="00B2689E"/>
    <w:rsid w:val="00B26BA4"/>
    <w:rsid w:val="00B27710"/>
    <w:rsid w:val="00B31872"/>
    <w:rsid w:val="00B31D9C"/>
    <w:rsid w:val="00B322F5"/>
    <w:rsid w:val="00B32CFD"/>
    <w:rsid w:val="00B333D6"/>
    <w:rsid w:val="00B354B6"/>
    <w:rsid w:val="00B36D55"/>
    <w:rsid w:val="00B36D6B"/>
    <w:rsid w:val="00B41FA6"/>
    <w:rsid w:val="00B425FB"/>
    <w:rsid w:val="00B429A0"/>
    <w:rsid w:val="00B43460"/>
    <w:rsid w:val="00B443E0"/>
    <w:rsid w:val="00B45822"/>
    <w:rsid w:val="00B46E9D"/>
    <w:rsid w:val="00B50058"/>
    <w:rsid w:val="00B51108"/>
    <w:rsid w:val="00B55B2D"/>
    <w:rsid w:val="00B57288"/>
    <w:rsid w:val="00B579EF"/>
    <w:rsid w:val="00B57EF6"/>
    <w:rsid w:val="00B61004"/>
    <w:rsid w:val="00B61D75"/>
    <w:rsid w:val="00B64118"/>
    <w:rsid w:val="00B725B4"/>
    <w:rsid w:val="00B7313F"/>
    <w:rsid w:val="00B73AE9"/>
    <w:rsid w:val="00B743FB"/>
    <w:rsid w:val="00B75D7F"/>
    <w:rsid w:val="00B77FF3"/>
    <w:rsid w:val="00B8069A"/>
    <w:rsid w:val="00B811CE"/>
    <w:rsid w:val="00B8226F"/>
    <w:rsid w:val="00B8732E"/>
    <w:rsid w:val="00B900DF"/>
    <w:rsid w:val="00B96544"/>
    <w:rsid w:val="00B97049"/>
    <w:rsid w:val="00BA01D1"/>
    <w:rsid w:val="00BA0C10"/>
    <w:rsid w:val="00BA0C77"/>
    <w:rsid w:val="00BA514C"/>
    <w:rsid w:val="00BA520E"/>
    <w:rsid w:val="00BA5390"/>
    <w:rsid w:val="00BA58D1"/>
    <w:rsid w:val="00BA7153"/>
    <w:rsid w:val="00BA7185"/>
    <w:rsid w:val="00BB0C3F"/>
    <w:rsid w:val="00BB1B5E"/>
    <w:rsid w:val="00BB3F42"/>
    <w:rsid w:val="00BB4439"/>
    <w:rsid w:val="00BB6C1A"/>
    <w:rsid w:val="00BB7DA8"/>
    <w:rsid w:val="00BC03CF"/>
    <w:rsid w:val="00BC0D8F"/>
    <w:rsid w:val="00BC2393"/>
    <w:rsid w:val="00BC2D15"/>
    <w:rsid w:val="00BC41A7"/>
    <w:rsid w:val="00BC6953"/>
    <w:rsid w:val="00BD2C09"/>
    <w:rsid w:val="00BD375A"/>
    <w:rsid w:val="00BD392E"/>
    <w:rsid w:val="00BD3EFF"/>
    <w:rsid w:val="00BE05B2"/>
    <w:rsid w:val="00BE12AC"/>
    <w:rsid w:val="00BE3F1F"/>
    <w:rsid w:val="00BE3F44"/>
    <w:rsid w:val="00BF169A"/>
    <w:rsid w:val="00BF5A77"/>
    <w:rsid w:val="00BF5D44"/>
    <w:rsid w:val="00BF665A"/>
    <w:rsid w:val="00BF7203"/>
    <w:rsid w:val="00C00544"/>
    <w:rsid w:val="00C028E7"/>
    <w:rsid w:val="00C04BE9"/>
    <w:rsid w:val="00C0657C"/>
    <w:rsid w:val="00C07328"/>
    <w:rsid w:val="00C07C0E"/>
    <w:rsid w:val="00C10300"/>
    <w:rsid w:val="00C10381"/>
    <w:rsid w:val="00C114A5"/>
    <w:rsid w:val="00C129F4"/>
    <w:rsid w:val="00C131BE"/>
    <w:rsid w:val="00C13ADE"/>
    <w:rsid w:val="00C140E5"/>
    <w:rsid w:val="00C15186"/>
    <w:rsid w:val="00C154AC"/>
    <w:rsid w:val="00C23281"/>
    <w:rsid w:val="00C2364F"/>
    <w:rsid w:val="00C23F54"/>
    <w:rsid w:val="00C25D0C"/>
    <w:rsid w:val="00C25E25"/>
    <w:rsid w:val="00C309C4"/>
    <w:rsid w:val="00C32311"/>
    <w:rsid w:val="00C33D50"/>
    <w:rsid w:val="00C34143"/>
    <w:rsid w:val="00C34DAD"/>
    <w:rsid w:val="00C34EFC"/>
    <w:rsid w:val="00C3509A"/>
    <w:rsid w:val="00C35137"/>
    <w:rsid w:val="00C3594B"/>
    <w:rsid w:val="00C37CD1"/>
    <w:rsid w:val="00C4019D"/>
    <w:rsid w:val="00C408AF"/>
    <w:rsid w:val="00C45034"/>
    <w:rsid w:val="00C465D3"/>
    <w:rsid w:val="00C47B15"/>
    <w:rsid w:val="00C5119F"/>
    <w:rsid w:val="00C53A5F"/>
    <w:rsid w:val="00C54F6C"/>
    <w:rsid w:val="00C564F3"/>
    <w:rsid w:val="00C57B44"/>
    <w:rsid w:val="00C600B0"/>
    <w:rsid w:val="00C61AF8"/>
    <w:rsid w:val="00C62E55"/>
    <w:rsid w:val="00C65C31"/>
    <w:rsid w:val="00C723A1"/>
    <w:rsid w:val="00C727B6"/>
    <w:rsid w:val="00C735C8"/>
    <w:rsid w:val="00C76E4E"/>
    <w:rsid w:val="00C80659"/>
    <w:rsid w:val="00C80D55"/>
    <w:rsid w:val="00C81D47"/>
    <w:rsid w:val="00C81E00"/>
    <w:rsid w:val="00C82D6B"/>
    <w:rsid w:val="00C83BC0"/>
    <w:rsid w:val="00C84CCE"/>
    <w:rsid w:val="00C854BB"/>
    <w:rsid w:val="00C85EA2"/>
    <w:rsid w:val="00C865FA"/>
    <w:rsid w:val="00C91782"/>
    <w:rsid w:val="00C92C6D"/>
    <w:rsid w:val="00C933B9"/>
    <w:rsid w:val="00C9359A"/>
    <w:rsid w:val="00C93A31"/>
    <w:rsid w:val="00C9703D"/>
    <w:rsid w:val="00C97A25"/>
    <w:rsid w:val="00CA1100"/>
    <w:rsid w:val="00CA153C"/>
    <w:rsid w:val="00CA244E"/>
    <w:rsid w:val="00CA398C"/>
    <w:rsid w:val="00CA4164"/>
    <w:rsid w:val="00CB061C"/>
    <w:rsid w:val="00CB0747"/>
    <w:rsid w:val="00CB0D77"/>
    <w:rsid w:val="00CB1ADE"/>
    <w:rsid w:val="00CB2DE4"/>
    <w:rsid w:val="00CB469F"/>
    <w:rsid w:val="00CB5593"/>
    <w:rsid w:val="00CB6B06"/>
    <w:rsid w:val="00CB6F27"/>
    <w:rsid w:val="00CC0924"/>
    <w:rsid w:val="00CC22C8"/>
    <w:rsid w:val="00CC272B"/>
    <w:rsid w:val="00CC4215"/>
    <w:rsid w:val="00CC458D"/>
    <w:rsid w:val="00CC5057"/>
    <w:rsid w:val="00CC7BC9"/>
    <w:rsid w:val="00CD0A50"/>
    <w:rsid w:val="00CD100A"/>
    <w:rsid w:val="00CD3268"/>
    <w:rsid w:val="00CD40BE"/>
    <w:rsid w:val="00CD4149"/>
    <w:rsid w:val="00CD581C"/>
    <w:rsid w:val="00CD70BA"/>
    <w:rsid w:val="00CE0C5A"/>
    <w:rsid w:val="00CE2050"/>
    <w:rsid w:val="00CE2C68"/>
    <w:rsid w:val="00CE3157"/>
    <w:rsid w:val="00CE7DE1"/>
    <w:rsid w:val="00CF3A37"/>
    <w:rsid w:val="00CF40EF"/>
    <w:rsid w:val="00CF4653"/>
    <w:rsid w:val="00CF510A"/>
    <w:rsid w:val="00CF67DF"/>
    <w:rsid w:val="00D00434"/>
    <w:rsid w:val="00D01192"/>
    <w:rsid w:val="00D016F9"/>
    <w:rsid w:val="00D01E2D"/>
    <w:rsid w:val="00D0332F"/>
    <w:rsid w:val="00D03C1F"/>
    <w:rsid w:val="00D03F50"/>
    <w:rsid w:val="00D14370"/>
    <w:rsid w:val="00D14586"/>
    <w:rsid w:val="00D1465A"/>
    <w:rsid w:val="00D1661F"/>
    <w:rsid w:val="00D17037"/>
    <w:rsid w:val="00D17CAB"/>
    <w:rsid w:val="00D20C93"/>
    <w:rsid w:val="00D2110B"/>
    <w:rsid w:val="00D21B9C"/>
    <w:rsid w:val="00D22B52"/>
    <w:rsid w:val="00D2460D"/>
    <w:rsid w:val="00D26712"/>
    <w:rsid w:val="00D27167"/>
    <w:rsid w:val="00D3052A"/>
    <w:rsid w:val="00D30C48"/>
    <w:rsid w:val="00D36C13"/>
    <w:rsid w:val="00D37A4A"/>
    <w:rsid w:val="00D4055F"/>
    <w:rsid w:val="00D407A3"/>
    <w:rsid w:val="00D44063"/>
    <w:rsid w:val="00D44353"/>
    <w:rsid w:val="00D44A5E"/>
    <w:rsid w:val="00D45F41"/>
    <w:rsid w:val="00D50870"/>
    <w:rsid w:val="00D51865"/>
    <w:rsid w:val="00D5293F"/>
    <w:rsid w:val="00D54922"/>
    <w:rsid w:val="00D55C59"/>
    <w:rsid w:val="00D57446"/>
    <w:rsid w:val="00D60D40"/>
    <w:rsid w:val="00D6140C"/>
    <w:rsid w:val="00D61764"/>
    <w:rsid w:val="00D61D86"/>
    <w:rsid w:val="00D634E6"/>
    <w:rsid w:val="00D64B1F"/>
    <w:rsid w:val="00D665A3"/>
    <w:rsid w:val="00D67698"/>
    <w:rsid w:val="00D67B29"/>
    <w:rsid w:val="00D718CB"/>
    <w:rsid w:val="00D734DE"/>
    <w:rsid w:val="00D74829"/>
    <w:rsid w:val="00D777FD"/>
    <w:rsid w:val="00D804EF"/>
    <w:rsid w:val="00D80C6D"/>
    <w:rsid w:val="00D82F71"/>
    <w:rsid w:val="00D83EE0"/>
    <w:rsid w:val="00D9098C"/>
    <w:rsid w:val="00D915D5"/>
    <w:rsid w:val="00D9261C"/>
    <w:rsid w:val="00D93652"/>
    <w:rsid w:val="00D94B52"/>
    <w:rsid w:val="00D953EC"/>
    <w:rsid w:val="00D96599"/>
    <w:rsid w:val="00D9661E"/>
    <w:rsid w:val="00D973E7"/>
    <w:rsid w:val="00DA10AE"/>
    <w:rsid w:val="00DA1DEE"/>
    <w:rsid w:val="00DA4A79"/>
    <w:rsid w:val="00DA5C86"/>
    <w:rsid w:val="00DA6826"/>
    <w:rsid w:val="00DA6A28"/>
    <w:rsid w:val="00DA6C43"/>
    <w:rsid w:val="00DA7908"/>
    <w:rsid w:val="00DB070B"/>
    <w:rsid w:val="00DB3494"/>
    <w:rsid w:val="00DB4A74"/>
    <w:rsid w:val="00DB4D7B"/>
    <w:rsid w:val="00DB5625"/>
    <w:rsid w:val="00DB5984"/>
    <w:rsid w:val="00DB6CBE"/>
    <w:rsid w:val="00DC00C2"/>
    <w:rsid w:val="00DC1A43"/>
    <w:rsid w:val="00DC49FE"/>
    <w:rsid w:val="00DC4F99"/>
    <w:rsid w:val="00DD08B5"/>
    <w:rsid w:val="00DD4DDD"/>
    <w:rsid w:val="00DD4EE7"/>
    <w:rsid w:val="00DD5705"/>
    <w:rsid w:val="00DD7098"/>
    <w:rsid w:val="00DD749E"/>
    <w:rsid w:val="00DE02D4"/>
    <w:rsid w:val="00DE3D12"/>
    <w:rsid w:val="00DE65C7"/>
    <w:rsid w:val="00DE68AB"/>
    <w:rsid w:val="00DE6F83"/>
    <w:rsid w:val="00DE75C0"/>
    <w:rsid w:val="00DE768C"/>
    <w:rsid w:val="00DF04D2"/>
    <w:rsid w:val="00DF0732"/>
    <w:rsid w:val="00DF1D5F"/>
    <w:rsid w:val="00DF27CD"/>
    <w:rsid w:val="00DF29BF"/>
    <w:rsid w:val="00DF4195"/>
    <w:rsid w:val="00DF6BC8"/>
    <w:rsid w:val="00E01209"/>
    <w:rsid w:val="00E01F5A"/>
    <w:rsid w:val="00E025E4"/>
    <w:rsid w:val="00E0319E"/>
    <w:rsid w:val="00E03D49"/>
    <w:rsid w:val="00E05729"/>
    <w:rsid w:val="00E0770D"/>
    <w:rsid w:val="00E120A6"/>
    <w:rsid w:val="00E120FD"/>
    <w:rsid w:val="00E12841"/>
    <w:rsid w:val="00E12918"/>
    <w:rsid w:val="00E143DF"/>
    <w:rsid w:val="00E14685"/>
    <w:rsid w:val="00E15076"/>
    <w:rsid w:val="00E162B7"/>
    <w:rsid w:val="00E17E42"/>
    <w:rsid w:val="00E2029B"/>
    <w:rsid w:val="00E20366"/>
    <w:rsid w:val="00E20700"/>
    <w:rsid w:val="00E21612"/>
    <w:rsid w:val="00E22293"/>
    <w:rsid w:val="00E23AA2"/>
    <w:rsid w:val="00E2701F"/>
    <w:rsid w:val="00E319C7"/>
    <w:rsid w:val="00E325A5"/>
    <w:rsid w:val="00E33050"/>
    <w:rsid w:val="00E353FE"/>
    <w:rsid w:val="00E35977"/>
    <w:rsid w:val="00E371D4"/>
    <w:rsid w:val="00E37836"/>
    <w:rsid w:val="00E411EE"/>
    <w:rsid w:val="00E4162F"/>
    <w:rsid w:val="00E44753"/>
    <w:rsid w:val="00E46EDE"/>
    <w:rsid w:val="00E475AA"/>
    <w:rsid w:val="00E4794F"/>
    <w:rsid w:val="00E47F77"/>
    <w:rsid w:val="00E505BC"/>
    <w:rsid w:val="00E50C4D"/>
    <w:rsid w:val="00E5188D"/>
    <w:rsid w:val="00E526D5"/>
    <w:rsid w:val="00E52E90"/>
    <w:rsid w:val="00E534C3"/>
    <w:rsid w:val="00E54AD7"/>
    <w:rsid w:val="00E5644C"/>
    <w:rsid w:val="00E576B8"/>
    <w:rsid w:val="00E57A09"/>
    <w:rsid w:val="00E600A3"/>
    <w:rsid w:val="00E61B69"/>
    <w:rsid w:val="00E63A73"/>
    <w:rsid w:val="00E64C48"/>
    <w:rsid w:val="00E66DA4"/>
    <w:rsid w:val="00E6751A"/>
    <w:rsid w:val="00E67FD0"/>
    <w:rsid w:val="00E70BE0"/>
    <w:rsid w:val="00E7102D"/>
    <w:rsid w:val="00E72FE8"/>
    <w:rsid w:val="00E7332E"/>
    <w:rsid w:val="00E73E65"/>
    <w:rsid w:val="00E75A43"/>
    <w:rsid w:val="00E76A62"/>
    <w:rsid w:val="00E80C7D"/>
    <w:rsid w:val="00E80DDB"/>
    <w:rsid w:val="00E81648"/>
    <w:rsid w:val="00E81F7D"/>
    <w:rsid w:val="00E821B4"/>
    <w:rsid w:val="00E82BAF"/>
    <w:rsid w:val="00E83E3B"/>
    <w:rsid w:val="00E849C8"/>
    <w:rsid w:val="00E87355"/>
    <w:rsid w:val="00E87365"/>
    <w:rsid w:val="00E90751"/>
    <w:rsid w:val="00E9123D"/>
    <w:rsid w:val="00E9148B"/>
    <w:rsid w:val="00E9368B"/>
    <w:rsid w:val="00E946A7"/>
    <w:rsid w:val="00E94A64"/>
    <w:rsid w:val="00E96E2E"/>
    <w:rsid w:val="00EA67C3"/>
    <w:rsid w:val="00EB378E"/>
    <w:rsid w:val="00EB4162"/>
    <w:rsid w:val="00EB4DCF"/>
    <w:rsid w:val="00EB5E1F"/>
    <w:rsid w:val="00EB7444"/>
    <w:rsid w:val="00EC02A6"/>
    <w:rsid w:val="00EC0C19"/>
    <w:rsid w:val="00EC4328"/>
    <w:rsid w:val="00EC4653"/>
    <w:rsid w:val="00EC5612"/>
    <w:rsid w:val="00EC5AED"/>
    <w:rsid w:val="00EC6D1A"/>
    <w:rsid w:val="00EC6DAB"/>
    <w:rsid w:val="00EC7A0D"/>
    <w:rsid w:val="00ED15B8"/>
    <w:rsid w:val="00EE0472"/>
    <w:rsid w:val="00EE0D7C"/>
    <w:rsid w:val="00EE1632"/>
    <w:rsid w:val="00EE2A12"/>
    <w:rsid w:val="00EE3AF2"/>
    <w:rsid w:val="00EE3CD1"/>
    <w:rsid w:val="00EE4172"/>
    <w:rsid w:val="00EE4C95"/>
    <w:rsid w:val="00EE6F54"/>
    <w:rsid w:val="00EE7ED2"/>
    <w:rsid w:val="00EF09E4"/>
    <w:rsid w:val="00EF2187"/>
    <w:rsid w:val="00EF3174"/>
    <w:rsid w:val="00EF3256"/>
    <w:rsid w:val="00EF3511"/>
    <w:rsid w:val="00EF4C04"/>
    <w:rsid w:val="00EF5A3F"/>
    <w:rsid w:val="00EF5FD4"/>
    <w:rsid w:val="00EF6E9F"/>
    <w:rsid w:val="00EF7C53"/>
    <w:rsid w:val="00F01AF9"/>
    <w:rsid w:val="00F048C7"/>
    <w:rsid w:val="00F07BFA"/>
    <w:rsid w:val="00F10015"/>
    <w:rsid w:val="00F10E67"/>
    <w:rsid w:val="00F118E6"/>
    <w:rsid w:val="00F1263F"/>
    <w:rsid w:val="00F14D0C"/>
    <w:rsid w:val="00F15BC2"/>
    <w:rsid w:val="00F15DA1"/>
    <w:rsid w:val="00F219BE"/>
    <w:rsid w:val="00F2347E"/>
    <w:rsid w:val="00F23761"/>
    <w:rsid w:val="00F23EE5"/>
    <w:rsid w:val="00F265C2"/>
    <w:rsid w:val="00F27137"/>
    <w:rsid w:val="00F305D0"/>
    <w:rsid w:val="00F31569"/>
    <w:rsid w:val="00F31734"/>
    <w:rsid w:val="00F32556"/>
    <w:rsid w:val="00F33EF8"/>
    <w:rsid w:val="00F35B74"/>
    <w:rsid w:val="00F36103"/>
    <w:rsid w:val="00F366D8"/>
    <w:rsid w:val="00F36EB3"/>
    <w:rsid w:val="00F37EE1"/>
    <w:rsid w:val="00F41FCA"/>
    <w:rsid w:val="00F42132"/>
    <w:rsid w:val="00F46CC9"/>
    <w:rsid w:val="00F51656"/>
    <w:rsid w:val="00F51795"/>
    <w:rsid w:val="00F52480"/>
    <w:rsid w:val="00F52A8D"/>
    <w:rsid w:val="00F53E94"/>
    <w:rsid w:val="00F5682D"/>
    <w:rsid w:val="00F61F94"/>
    <w:rsid w:val="00F6722D"/>
    <w:rsid w:val="00F70B2D"/>
    <w:rsid w:val="00F71A44"/>
    <w:rsid w:val="00F71D95"/>
    <w:rsid w:val="00F73512"/>
    <w:rsid w:val="00F73BAA"/>
    <w:rsid w:val="00F755D4"/>
    <w:rsid w:val="00F822A6"/>
    <w:rsid w:val="00F83732"/>
    <w:rsid w:val="00F8419F"/>
    <w:rsid w:val="00F86C4D"/>
    <w:rsid w:val="00F86CDC"/>
    <w:rsid w:val="00F87100"/>
    <w:rsid w:val="00F903BA"/>
    <w:rsid w:val="00F92FA9"/>
    <w:rsid w:val="00F93977"/>
    <w:rsid w:val="00F94842"/>
    <w:rsid w:val="00F95551"/>
    <w:rsid w:val="00F965A5"/>
    <w:rsid w:val="00F96A7E"/>
    <w:rsid w:val="00F97D29"/>
    <w:rsid w:val="00FA0906"/>
    <w:rsid w:val="00FA4EE7"/>
    <w:rsid w:val="00FA5578"/>
    <w:rsid w:val="00FA7ABF"/>
    <w:rsid w:val="00FB0796"/>
    <w:rsid w:val="00FB182A"/>
    <w:rsid w:val="00FB1DB3"/>
    <w:rsid w:val="00FB5DEC"/>
    <w:rsid w:val="00FB6AAC"/>
    <w:rsid w:val="00FB70E2"/>
    <w:rsid w:val="00FC0D3A"/>
    <w:rsid w:val="00FC1791"/>
    <w:rsid w:val="00FC5403"/>
    <w:rsid w:val="00FC5F72"/>
    <w:rsid w:val="00FC7405"/>
    <w:rsid w:val="00FD0087"/>
    <w:rsid w:val="00FD070F"/>
    <w:rsid w:val="00FD1296"/>
    <w:rsid w:val="00FD204B"/>
    <w:rsid w:val="00FD6116"/>
    <w:rsid w:val="00FE047F"/>
    <w:rsid w:val="00FE1B22"/>
    <w:rsid w:val="00FE3EF8"/>
    <w:rsid w:val="00FE5ABD"/>
    <w:rsid w:val="00FE5E72"/>
    <w:rsid w:val="00FE5EE4"/>
    <w:rsid w:val="00FE6801"/>
    <w:rsid w:val="00FE7FA5"/>
    <w:rsid w:val="00FF15EB"/>
    <w:rsid w:val="00FF1728"/>
    <w:rsid w:val="00FF3445"/>
    <w:rsid w:val="00FF4A16"/>
    <w:rsid w:val="010D0DA3"/>
    <w:rsid w:val="011467D9"/>
    <w:rsid w:val="01186C04"/>
    <w:rsid w:val="011C7485"/>
    <w:rsid w:val="011D7014"/>
    <w:rsid w:val="012A4E2C"/>
    <w:rsid w:val="01394FCA"/>
    <w:rsid w:val="013B4944"/>
    <w:rsid w:val="013C097A"/>
    <w:rsid w:val="014826F2"/>
    <w:rsid w:val="01496EEC"/>
    <w:rsid w:val="014A7806"/>
    <w:rsid w:val="015525A3"/>
    <w:rsid w:val="0157432B"/>
    <w:rsid w:val="015910B0"/>
    <w:rsid w:val="01631289"/>
    <w:rsid w:val="01687086"/>
    <w:rsid w:val="016A29CA"/>
    <w:rsid w:val="016E5E6F"/>
    <w:rsid w:val="01704B5A"/>
    <w:rsid w:val="01731EFB"/>
    <w:rsid w:val="01752C64"/>
    <w:rsid w:val="01767E47"/>
    <w:rsid w:val="017716F4"/>
    <w:rsid w:val="017B7436"/>
    <w:rsid w:val="01894D18"/>
    <w:rsid w:val="01910A08"/>
    <w:rsid w:val="01967DCC"/>
    <w:rsid w:val="01991DA7"/>
    <w:rsid w:val="01AD2F11"/>
    <w:rsid w:val="01B538FA"/>
    <w:rsid w:val="01BE7323"/>
    <w:rsid w:val="01C00191"/>
    <w:rsid w:val="01C0753F"/>
    <w:rsid w:val="01C55B58"/>
    <w:rsid w:val="01C73121"/>
    <w:rsid w:val="01C901A1"/>
    <w:rsid w:val="01CF1341"/>
    <w:rsid w:val="01D62AB1"/>
    <w:rsid w:val="01D95F0B"/>
    <w:rsid w:val="01E37681"/>
    <w:rsid w:val="01E93166"/>
    <w:rsid w:val="01F56B57"/>
    <w:rsid w:val="01F72A51"/>
    <w:rsid w:val="01FF7694"/>
    <w:rsid w:val="020016E9"/>
    <w:rsid w:val="02050707"/>
    <w:rsid w:val="020C0697"/>
    <w:rsid w:val="021B4775"/>
    <w:rsid w:val="022050F0"/>
    <w:rsid w:val="02214096"/>
    <w:rsid w:val="022B6FA2"/>
    <w:rsid w:val="0233386D"/>
    <w:rsid w:val="024C0938"/>
    <w:rsid w:val="025F71D5"/>
    <w:rsid w:val="026713BA"/>
    <w:rsid w:val="02716902"/>
    <w:rsid w:val="02777083"/>
    <w:rsid w:val="02785329"/>
    <w:rsid w:val="02787402"/>
    <w:rsid w:val="027C3466"/>
    <w:rsid w:val="028244DD"/>
    <w:rsid w:val="028806CF"/>
    <w:rsid w:val="028951A2"/>
    <w:rsid w:val="028F435F"/>
    <w:rsid w:val="02936A01"/>
    <w:rsid w:val="0298234D"/>
    <w:rsid w:val="02987B74"/>
    <w:rsid w:val="029A0AB0"/>
    <w:rsid w:val="029E1D3B"/>
    <w:rsid w:val="02AD070B"/>
    <w:rsid w:val="02AE021C"/>
    <w:rsid w:val="02B06FC6"/>
    <w:rsid w:val="02D21986"/>
    <w:rsid w:val="02E10B8E"/>
    <w:rsid w:val="02E27141"/>
    <w:rsid w:val="02E921B9"/>
    <w:rsid w:val="02ED4526"/>
    <w:rsid w:val="02EF553E"/>
    <w:rsid w:val="02F62CC6"/>
    <w:rsid w:val="030048BF"/>
    <w:rsid w:val="0303668E"/>
    <w:rsid w:val="03086AA8"/>
    <w:rsid w:val="030C65BB"/>
    <w:rsid w:val="030E7F89"/>
    <w:rsid w:val="031E3FDA"/>
    <w:rsid w:val="03264F43"/>
    <w:rsid w:val="0328170E"/>
    <w:rsid w:val="03285ACA"/>
    <w:rsid w:val="032B09E8"/>
    <w:rsid w:val="032D650E"/>
    <w:rsid w:val="03451113"/>
    <w:rsid w:val="035A6154"/>
    <w:rsid w:val="03607A1F"/>
    <w:rsid w:val="036250C9"/>
    <w:rsid w:val="037759DB"/>
    <w:rsid w:val="03795BF7"/>
    <w:rsid w:val="03806155"/>
    <w:rsid w:val="03806F86"/>
    <w:rsid w:val="03816F1E"/>
    <w:rsid w:val="038E0323"/>
    <w:rsid w:val="038F71C9"/>
    <w:rsid w:val="03906A9D"/>
    <w:rsid w:val="039A7BC0"/>
    <w:rsid w:val="039F13D5"/>
    <w:rsid w:val="039F5913"/>
    <w:rsid w:val="03A303B1"/>
    <w:rsid w:val="03A701EC"/>
    <w:rsid w:val="03AE2A40"/>
    <w:rsid w:val="03B06B59"/>
    <w:rsid w:val="03B34112"/>
    <w:rsid w:val="03B52E7E"/>
    <w:rsid w:val="03B76D2D"/>
    <w:rsid w:val="03BE07FB"/>
    <w:rsid w:val="03BF0EDC"/>
    <w:rsid w:val="03C2759E"/>
    <w:rsid w:val="03C463D7"/>
    <w:rsid w:val="03C50E3C"/>
    <w:rsid w:val="03CA0ADE"/>
    <w:rsid w:val="03CA1FAF"/>
    <w:rsid w:val="03CD4C53"/>
    <w:rsid w:val="03D6425B"/>
    <w:rsid w:val="03D933E3"/>
    <w:rsid w:val="03DF54A8"/>
    <w:rsid w:val="03E25398"/>
    <w:rsid w:val="03E34FD2"/>
    <w:rsid w:val="03E84F49"/>
    <w:rsid w:val="03E85A66"/>
    <w:rsid w:val="03F645D6"/>
    <w:rsid w:val="03F67248"/>
    <w:rsid w:val="03F67CB0"/>
    <w:rsid w:val="03F67DF0"/>
    <w:rsid w:val="03F767FD"/>
    <w:rsid w:val="03F770BD"/>
    <w:rsid w:val="04120D47"/>
    <w:rsid w:val="04124AFE"/>
    <w:rsid w:val="042562A7"/>
    <w:rsid w:val="0426586F"/>
    <w:rsid w:val="042B50ED"/>
    <w:rsid w:val="042D3241"/>
    <w:rsid w:val="042E4530"/>
    <w:rsid w:val="043638E0"/>
    <w:rsid w:val="043B3918"/>
    <w:rsid w:val="043F5B48"/>
    <w:rsid w:val="04404041"/>
    <w:rsid w:val="04446205"/>
    <w:rsid w:val="044E519E"/>
    <w:rsid w:val="045047E9"/>
    <w:rsid w:val="045247EF"/>
    <w:rsid w:val="045521C0"/>
    <w:rsid w:val="04603313"/>
    <w:rsid w:val="04713A21"/>
    <w:rsid w:val="047358EA"/>
    <w:rsid w:val="04742875"/>
    <w:rsid w:val="047F723D"/>
    <w:rsid w:val="048F45DD"/>
    <w:rsid w:val="04987EFC"/>
    <w:rsid w:val="049A4077"/>
    <w:rsid w:val="049B6F36"/>
    <w:rsid w:val="049D6851"/>
    <w:rsid w:val="04A41520"/>
    <w:rsid w:val="04AD4EC6"/>
    <w:rsid w:val="04AD7581"/>
    <w:rsid w:val="04B11640"/>
    <w:rsid w:val="04B21C91"/>
    <w:rsid w:val="04C904D7"/>
    <w:rsid w:val="04CB03C1"/>
    <w:rsid w:val="04CE474C"/>
    <w:rsid w:val="04D6656E"/>
    <w:rsid w:val="04E36AB5"/>
    <w:rsid w:val="04E77CBA"/>
    <w:rsid w:val="04ED0B9B"/>
    <w:rsid w:val="04F65723"/>
    <w:rsid w:val="04FA68C4"/>
    <w:rsid w:val="050A6C0A"/>
    <w:rsid w:val="050C43F5"/>
    <w:rsid w:val="05100232"/>
    <w:rsid w:val="05110868"/>
    <w:rsid w:val="051554AC"/>
    <w:rsid w:val="051C7DDD"/>
    <w:rsid w:val="051D0858"/>
    <w:rsid w:val="051F3444"/>
    <w:rsid w:val="053673F8"/>
    <w:rsid w:val="053A2398"/>
    <w:rsid w:val="05404C1F"/>
    <w:rsid w:val="054E205D"/>
    <w:rsid w:val="05512EF6"/>
    <w:rsid w:val="05527054"/>
    <w:rsid w:val="05542030"/>
    <w:rsid w:val="055661F0"/>
    <w:rsid w:val="056155D8"/>
    <w:rsid w:val="05681A7F"/>
    <w:rsid w:val="056B4084"/>
    <w:rsid w:val="056D7E48"/>
    <w:rsid w:val="05762384"/>
    <w:rsid w:val="05800A80"/>
    <w:rsid w:val="0588768A"/>
    <w:rsid w:val="059200D9"/>
    <w:rsid w:val="05A33F52"/>
    <w:rsid w:val="05A35668"/>
    <w:rsid w:val="05A85B7B"/>
    <w:rsid w:val="05A8716F"/>
    <w:rsid w:val="05A94B09"/>
    <w:rsid w:val="05AC2CE0"/>
    <w:rsid w:val="05B04249"/>
    <w:rsid w:val="05B15B5E"/>
    <w:rsid w:val="05B664D2"/>
    <w:rsid w:val="05C0037B"/>
    <w:rsid w:val="05C34D55"/>
    <w:rsid w:val="05CB6D29"/>
    <w:rsid w:val="05CC5ECA"/>
    <w:rsid w:val="05CD3D26"/>
    <w:rsid w:val="05D119CE"/>
    <w:rsid w:val="05E11832"/>
    <w:rsid w:val="05E30241"/>
    <w:rsid w:val="05E32B0B"/>
    <w:rsid w:val="05E675C1"/>
    <w:rsid w:val="05E74F09"/>
    <w:rsid w:val="05EC376F"/>
    <w:rsid w:val="05F57166"/>
    <w:rsid w:val="05FA1C14"/>
    <w:rsid w:val="06015463"/>
    <w:rsid w:val="060F74DD"/>
    <w:rsid w:val="06111E65"/>
    <w:rsid w:val="061D6F74"/>
    <w:rsid w:val="061F547D"/>
    <w:rsid w:val="06205BFF"/>
    <w:rsid w:val="0629230F"/>
    <w:rsid w:val="062A31AD"/>
    <w:rsid w:val="062D397A"/>
    <w:rsid w:val="063110AF"/>
    <w:rsid w:val="063522A9"/>
    <w:rsid w:val="06354E93"/>
    <w:rsid w:val="0636252E"/>
    <w:rsid w:val="063B150A"/>
    <w:rsid w:val="063C2EF2"/>
    <w:rsid w:val="063C55F5"/>
    <w:rsid w:val="063D0AFE"/>
    <w:rsid w:val="06455A0B"/>
    <w:rsid w:val="0649318D"/>
    <w:rsid w:val="064B3DA3"/>
    <w:rsid w:val="064B4AA4"/>
    <w:rsid w:val="064C7319"/>
    <w:rsid w:val="064D4A3D"/>
    <w:rsid w:val="064D6708"/>
    <w:rsid w:val="06624721"/>
    <w:rsid w:val="06711E11"/>
    <w:rsid w:val="0687687D"/>
    <w:rsid w:val="068A73B4"/>
    <w:rsid w:val="06934DFB"/>
    <w:rsid w:val="06943913"/>
    <w:rsid w:val="069B6A43"/>
    <w:rsid w:val="06A37F40"/>
    <w:rsid w:val="06A74FC8"/>
    <w:rsid w:val="06AE7966"/>
    <w:rsid w:val="06B01930"/>
    <w:rsid w:val="06B60D0D"/>
    <w:rsid w:val="06BA392C"/>
    <w:rsid w:val="06C6614A"/>
    <w:rsid w:val="06CB13A6"/>
    <w:rsid w:val="06CC2AA7"/>
    <w:rsid w:val="06CD5B45"/>
    <w:rsid w:val="06D04337"/>
    <w:rsid w:val="06D53145"/>
    <w:rsid w:val="06D54CC3"/>
    <w:rsid w:val="06E53A3D"/>
    <w:rsid w:val="06E706E2"/>
    <w:rsid w:val="06EB4C1C"/>
    <w:rsid w:val="070F293D"/>
    <w:rsid w:val="0716481E"/>
    <w:rsid w:val="07167797"/>
    <w:rsid w:val="07167A7D"/>
    <w:rsid w:val="071820CB"/>
    <w:rsid w:val="07245E7A"/>
    <w:rsid w:val="072678E3"/>
    <w:rsid w:val="072B6B2C"/>
    <w:rsid w:val="072C3B90"/>
    <w:rsid w:val="072F77F0"/>
    <w:rsid w:val="073065CD"/>
    <w:rsid w:val="07340BE1"/>
    <w:rsid w:val="0734568A"/>
    <w:rsid w:val="07391925"/>
    <w:rsid w:val="074A1D85"/>
    <w:rsid w:val="074A22EF"/>
    <w:rsid w:val="074C2864"/>
    <w:rsid w:val="074D742A"/>
    <w:rsid w:val="07533B8F"/>
    <w:rsid w:val="075A0394"/>
    <w:rsid w:val="075A298B"/>
    <w:rsid w:val="075A29C3"/>
    <w:rsid w:val="07606FEC"/>
    <w:rsid w:val="076170CE"/>
    <w:rsid w:val="07633552"/>
    <w:rsid w:val="07767E14"/>
    <w:rsid w:val="07773679"/>
    <w:rsid w:val="078057A6"/>
    <w:rsid w:val="078663DF"/>
    <w:rsid w:val="07884EDA"/>
    <w:rsid w:val="0793228C"/>
    <w:rsid w:val="079922F8"/>
    <w:rsid w:val="079B0470"/>
    <w:rsid w:val="079C26FE"/>
    <w:rsid w:val="079F7C79"/>
    <w:rsid w:val="07A1571D"/>
    <w:rsid w:val="07A2540A"/>
    <w:rsid w:val="07A4033C"/>
    <w:rsid w:val="07A608FD"/>
    <w:rsid w:val="07AC0D9B"/>
    <w:rsid w:val="07AF7E3A"/>
    <w:rsid w:val="07B21809"/>
    <w:rsid w:val="07B7408E"/>
    <w:rsid w:val="07D21747"/>
    <w:rsid w:val="07D57C78"/>
    <w:rsid w:val="07E24F1F"/>
    <w:rsid w:val="07EA334A"/>
    <w:rsid w:val="07EA70C4"/>
    <w:rsid w:val="07EB0606"/>
    <w:rsid w:val="07FB6BDB"/>
    <w:rsid w:val="080705DD"/>
    <w:rsid w:val="080D5497"/>
    <w:rsid w:val="081625F2"/>
    <w:rsid w:val="08183C31"/>
    <w:rsid w:val="08346591"/>
    <w:rsid w:val="08377830"/>
    <w:rsid w:val="08402FCC"/>
    <w:rsid w:val="08462674"/>
    <w:rsid w:val="08477FD3"/>
    <w:rsid w:val="084B78AB"/>
    <w:rsid w:val="084C717D"/>
    <w:rsid w:val="084E0631"/>
    <w:rsid w:val="085B1168"/>
    <w:rsid w:val="086105CD"/>
    <w:rsid w:val="08624A5E"/>
    <w:rsid w:val="0865674A"/>
    <w:rsid w:val="086C4548"/>
    <w:rsid w:val="08747628"/>
    <w:rsid w:val="08847C91"/>
    <w:rsid w:val="08905306"/>
    <w:rsid w:val="08933985"/>
    <w:rsid w:val="08953055"/>
    <w:rsid w:val="0898267C"/>
    <w:rsid w:val="08A33972"/>
    <w:rsid w:val="08A662E7"/>
    <w:rsid w:val="08A92ADB"/>
    <w:rsid w:val="08A9383E"/>
    <w:rsid w:val="08A939F6"/>
    <w:rsid w:val="08AA3C5F"/>
    <w:rsid w:val="08AC23F8"/>
    <w:rsid w:val="08B3668D"/>
    <w:rsid w:val="08B41C9C"/>
    <w:rsid w:val="08CF1FFC"/>
    <w:rsid w:val="08D10F4B"/>
    <w:rsid w:val="08D176ED"/>
    <w:rsid w:val="08DE1A22"/>
    <w:rsid w:val="08DF6CFB"/>
    <w:rsid w:val="08E16C2B"/>
    <w:rsid w:val="08E228C9"/>
    <w:rsid w:val="08E22E5D"/>
    <w:rsid w:val="08E76D4F"/>
    <w:rsid w:val="08E91129"/>
    <w:rsid w:val="08EE7A25"/>
    <w:rsid w:val="09026017"/>
    <w:rsid w:val="09095674"/>
    <w:rsid w:val="090C4E18"/>
    <w:rsid w:val="090D074C"/>
    <w:rsid w:val="09272C87"/>
    <w:rsid w:val="09284D0C"/>
    <w:rsid w:val="092B1742"/>
    <w:rsid w:val="093043D0"/>
    <w:rsid w:val="09333966"/>
    <w:rsid w:val="093604BF"/>
    <w:rsid w:val="09381D91"/>
    <w:rsid w:val="093A296E"/>
    <w:rsid w:val="093A4443"/>
    <w:rsid w:val="09465686"/>
    <w:rsid w:val="09465F25"/>
    <w:rsid w:val="0946657C"/>
    <w:rsid w:val="09475683"/>
    <w:rsid w:val="0949606C"/>
    <w:rsid w:val="094D4BF7"/>
    <w:rsid w:val="095347F5"/>
    <w:rsid w:val="095D46B1"/>
    <w:rsid w:val="096E6A45"/>
    <w:rsid w:val="096F09B9"/>
    <w:rsid w:val="0971450C"/>
    <w:rsid w:val="097B2695"/>
    <w:rsid w:val="097B3F69"/>
    <w:rsid w:val="097C01EF"/>
    <w:rsid w:val="097E4D10"/>
    <w:rsid w:val="09854D96"/>
    <w:rsid w:val="09864725"/>
    <w:rsid w:val="09920B11"/>
    <w:rsid w:val="0995081B"/>
    <w:rsid w:val="09982419"/>
    <w:rsid w:val="099F217D"/>
    <w:rsid w:val="09AC00A8"/>
    <w:rsid w:val="09B01C47"/>
    <w:rsid w:val="09B54DFB"/>
    <w:rsid w:val="09BB1F12"/>
    <w:rsid w:val="09C13E54"/>
    <w:rsid w:val="09C55DD1"/>
    <w:rsid w:val="09C63218"/>
    <w:rsid w:val="09D130CC"/>
    <w:rsid w:val="09ED2E9B"/>
    <w:rsid w:val="09EE7978"/>
    <w:rsid w:val="09F1215B"/>
    <w:rsid w:val="0A070CFF"/>
    <w:rsid w:val="0A073936"/>
    <w:rsid w:val="0A123065"/>
    <w:rsid w:val="0A171A87"/>
    <w:rsid w:val="0A222B45"/>
    <w:rsid w:val="0A25253B"/>
    <w:rsid w:val="0A265C9A"/>
    <w:rsid w:val="0A276D9D"/>
    <w:rsid w:val="0A2C2B05"/>
    <w:rsid w:val="0A326B00"/>
    <w:rsid w:val="0A33166C"/>
    <w:rsid w:val="0A352568"/>
    <w:rsid w:val="0A354DF1"/>
    <w:rsid w:val="0A36214C"/>
    <w:rsid w:val="0A3E36F7"/>
    <w:rsid w:val="0A3E6600"/>
    <w:rsid w:val="0A401855"/>
    <w:rsid w:val="0A4122B5"/>
    <w:rsid w:val="0A470F9F"/>
    <w:rsid w:val="0A524DED"/>
    <w:rsid w:val="0A555586"/>
    <w:rsid w:val="0A5704C9"/>
    <w:rsid w:val="0A5829FE"/>
    <w:rsid w:val="0A5A0CBA"/>
    <w:rsid w:val="0A5C3A6E"/>
    <w:rsid w:val="0A652A31"/>
    <w:rsid w:val="0A762E91"/>
    <w:rsid w:val="0A79128E"/>
    <w:rsid w:val="0A7A0D2F"/>
    <w:rsid w:val="0A813496"/>
    <w:rsid w:val="0A842EDF"/>
    <w:rsid w:val="0A8553B7"/>
    <w:rsid w:val="0A960E3D"/>
    <w:rsid w:val="0A9A04D5"/>
    <w:rsid w:val="0AA2439C"/>
    <w:rsid w:val="0AA41F23"/>
    <w:rsid w:val="0AAE262A"/>
    <w:rsid w:val="0AB063A2"/>
    <w:rsid w:val="0AB4797F"/>
    <w:rsid w:val="0AB9039B"/>
    <w:rsid w:val="0AB91324"/>
    <w:rsid w:val="0AD12312"/>
    <w:rsid w:val="0AD96F7B"/>
    <w:rsid w:val="0AE6279C"/>
    <w:rsid w:val="0AE95411"/>
    <w:rsid w:val="0AEB0F3A"/>
    <w:rsid w:val="0AFA0D40"/>
    <w:rsid w:val="0AFC660C"/>
    <w:rsid w:val="0AFD2C6A"/>
    <w:rsid w:val="0AFD475A"/>
    <w:rsid w:val="0AFF3666"/>
    <w:rsid w:val="0B0E2F4D"/>
    <w:rsid w:val="0B141B13"/>
    <w:rsid w:val="0B1D330C"/>
    <w:rsid w:val="0B1F41E8"/>
    <w:rsid w:val="0B220922"/>
    <w:rsid w:val="0B2D1D74"/>
    <w:rsid w:val="0B2D6259"/>
    <w:rsid w:val="0B372BD2"/>
    <w:rsid w:val="0B47710E"/>
    <w:rsid w:val="0B4C698B"/>
    <w:rsid w:val="0B520302"/>
    <w:rsid w:val="0B555714"/>
    <w:rsid w:val="0B562D83"/>
    <w:rsid w:val="0B640F3B"/>
    <w:rsid w:val="0B662550"/>
    <w:rsid w:val="0B671B58"/>
    <w:rsid w:val="0B6B6B6B"/>
    <w:rsid w:val="0B6C3DC3"/>
    <w:rsid w:val="0B6C55AF"/>
    <w:rsid w:val="0B73013E"/>
    <w:rsid w:val="0B754210"/>
    <w:rsid w:val="0B765779"/>
    <w:rsid w:val="0B7B1048"/>
    <w:rsid w:val="0B7B1704"/>
    <w:rsid w:val="0B7D7BCE"/>
    <w:rsid w:val="0B7E024F"/>
    <w:rsid w:val="0B84366C"/>
    <w:rsid w:val="0B8F742D"/>
    <w:rsid w:val="0B901D30"/>
    <w:rsid w:val="0B980BE5"/>
    <w:rsid w:val="0B9C1F76"/>
    <w:rsid w:val="0B9C6927"/>
    <w:rsid w:val="0BAA1FC7"/>
    <w:rsid w:val="0BAB6B6A"/>
    <w:rsid w:val="0BAF20D3"/>
    <w:rsid w:val="0BAF5B81"/>
    <w:rsid w:val="0BB639A2"/>
    <w:rsid w:val="0BB94B3D"/>
    <w:rsid w:val="0BBB642A"/>
    <w:rsid w:val="0BBF0360"/>
    <w:rsid w:val="0BC145AF"/>
    <w:rsid w:val="0BC21EBD"/>
    <w:rsid w:val="0BC50753"/>
    <w:rsid w:val="0BCF0AAA"/>
    <w:rsid w:val="0BD22349"/>
    <w:rsid w:val="0BDB43B7"/>
    <w:rsid w:val="0BDC034E"/>
    <w:rsid w:val="0BDD42F6"/>
    <w:rsid w:val="0BE57F7F"/>
    <w:rsid w:val="0BF248A5"/>
    <w:rsid w:val="0BFC1173"/>
    <w:rsid w:val="0BFC7A02"/>
    <w:rsid w:val="0C021BD2"/>
    <w:rsid w:val="0C025EB7"/>
    <w:rsid w:val="0C0D6269"/>
    <w:rsid w:val="0C163F7D"/>
    <w:rsid w:val="0C1D5CD9"/>
    <w:rsid w:val="0C225446"/>
    <w:rsid w:val="0C257238"/>
    <w:rsid w:val="0C2B4BA9"/>
    <w:rsid w:val="0C442786"/>
    <w:rsid w:val="0C516308"/>
    <w:rsid w:val="0C580A3E"/>
    <w:rsid w:val="0C616CCC"/>
    <w:rsid w:val="0C88185E"/>
    <w:rsid w:val="0C886EAB"/>
    <w:rsid w:val="0C8929F8"/>
    <w:rsid w:val="0C8A2C23"/>
    <w:rsid w:val="0C8D4AC1"/>
    <w:rsid w:val="0C9475FE"/>
    <w:rsid w:val="0C9F0899"/>
    <w:rsid w:val="0CA05FA3"/>
    <w:rsid w:val="0CA17E96"/>
    <w:rsid w:val="0CA20491"/>
    <w:rsid w:val="0CAE3636"/>
    <w:rsid w:val="0CAF2A48"/>
    <w:rsid w:val="0CAF437E"/>
    <w:rsid w:val="0CB60B0A"/>
    <w:rsid w:val="0CC003F3"/>
    <w:rsid w:val="0CC3138F"/>
    <w:rsid w:val="0CC56247"/>
    <w:rsid w:val="0CC71E03"/>
    <w:rsid w:val="0CCC4FEA"/>
    <w:rsid w:val="0CCF66FC"/>
    <w:rsid w:val="0CD01732"/>
    <w:rsid w:val="0CD75A2E"/>
    <w:rsid w:val="0CE045F1"/>
    <w:rsid w:val="0CE340E1"/>
    <w:rsid w:val="0CEA1A1C"/>
    <w:rsid w:val="0CEB0ECC"/>
    <w:rsid w:val="0CEF3E69"/>
    <w:rsid w:val="0CFD5F71"/>
    <w:rsid w:val="0CFF53BF"/>
    <w:rsid w:val="0D0A5E01"/>
    <w:rsid w:val="0D0D32FC"/>
    <w:rsid w:val="0D0E73B0"/>
    <w:rsid w:val="0D1707FF"/>
    <w:rsid w:val="0D1C036E"/>
    <w:rsid w:val="0D2665B1"/>
    <w:rsid w:val="0D277F7A"/>
    <w:rsid w:val="0D2A1CCE"/>
    <w:rsid w:val="0D2D3714"/>
    <w:rsid w:val="0D2F1E3F"/>
    <w:rsid w:val="0D39294E"/>
    <w:rsid w:val="0D467316"/>
    <w:rsid w:val="0D471A0B"/>
    <w:rsid w:val="0D4A0CE7"/>
    <w:rsid w:val="0D4F6A3F"/>
    <w:rsid w:val="0D505C1B"/>
    <w:rsid w:val="0D55565E"/>
    <w:rsid w:val="0D563E31"/>
    <w:rsid w:val="0D5C3D38"/>
    <w:rsid w:val="0D660F9A"/>
    <w:rsid w:val="0D6D583B"/>
    <w:rsid w:val="0D766542"/>
    <w:rsid w:val="0D7A7BF1"/>
    <w:rsid w:val="0D7C6E87"/>
    <w:rsid w:val="0D7F0A41"/>
    <w:rsid w:val="0D837D9E"/>
    <w:rsid w:val="0D8633EB"/>
    <w:rsid w:val="0D880D91"/>
    <w:rsid w:val="0D950A33"/>
    <w:rsid w:val="0D9665A8"/>
    <w:rsid w:val="0DA0412E"/>
    <w:rsid w:val="0DA63DEA"/>
    <w:rsid w:val="0DA7046D"/>
    <w:rsid w:val="0DAB2004"/>
    <w:rsid w:val="0DAF2924"/>
    <w:rsid w:val="0DB00467"/>
    <w:rsid w:val="0DB25F8E"/>
    <w:rsid w:val="0DB3434B"/>
    <w:rsid w:val="0DBC19FE"/>
    <w:rsid w:val="0DBD437F"/>
    <w:rsid w:val="0DC27ACB"/>
    <w:rsid w:val="0DC66C1E"/>
    <w:rsid w:val="0DCC7561"/>
    <w:rsid w:val="0DD166FD"/>
    <w:rsid w:val="0DE16BFE"/>
    <w:rsid w:val="0DE620DB"/>
    <w:rsid w:val="0DEA4D07"/>
    <w:rsid w:val="0DEE2D3E"/>
    <w:rsid w:val="0DF76BE7"/>
    <w:rsid w:val="0E027D12"/>
    <w:rsid w:val="0E0C03EC"/>
    <w:rsid w:val="0E15316E"/>
    <w:rsid w:val="0E1F1149"/>
    <w:rsid w:val="0E22542C"/>
    <w:rsid w:val="0E230D98"/>
    <w:rsid w:val="0E264544"/>
    <w:rsid w:val="0E2D3D9E"/>
    <w:rsid w:val="0E2E0505"/>
    <w:rsid w:val="0E2F47E3"/>
    <w:rsid w:val="0E383EE4"/>
    <w:rsid w:val="0E4B3D55"/>
    <w:rsid w:val="0E500C44"/>
    <w:rsid w:val="0E54656B"/>
    <w:rsid w:val="0E5B0FA9"/>
    <w:rsid w:val="0E666D78"/>
    <w:rsid w:val="0E6C1898"/>
    <w:rsid w:val="0E6E3471"/>
    <w:rsid w:val="0E7119BB"/>
    <w:rsid w:val="0E744ECE"/>
    <w:rsid w:val="0E791908"/>
    <w:rsid w:val="0E8518F4"/>
    <w:rsid w:val="0E9103F1"/>
    <w:rsid w:val="0E910652"/>
    <w:rsid w:val="0EA06E12"/>
    <w:rsid w:val="0EB82FEB"/>
    <w:rsid w:val="0EBD7872"/>
    <w:rsid w:val="0EC074E7"/>
    <w:rsid w:val="0EC110E9"/>
    <w:rsid w:val="0EC609CA"/>
    <w:rsid w:val="0EC84FC5"/>
    <w:rsid w:val="0ED20D6C"/>
    <w:rsid w:val="0EDB04FA"/>
    <w:rsid w:val="0EE2410A"/>
    <w:rsid w:val="0EE414E4"/>
    <w:rsid w:val="0EE66A7A"/>
    <w:rsid w:val="0EEC7EBA"/>
    <w:rsid w:val="0EF97073"/>
    <w:rsid w:val="0EFD4C43"/>
    <w:rsid w:val="0F0503E8"/>
    <w:rsid w:val="0F0E3698"/>
    <w:rsid w:val="0F1505CC"/>
    <w:rsid w:val="0F1A64E0"/>
    <w:rsid w:val="0F277838"/>
    <w:rsid w:val="0F285B9B"/>
    <w:rsid w:val="0F291BF3"/>
    <w:rsid w:val="0F2F1860"/>
    <w:rsid w:val="0F303339"/>
    <w:rsid w:val="0F312613"/>
    <w:rsid w:val="0F3B1FB3"/>
    <w:rsid w:val="0F44602B"/>
    <w:rsid w:val="0F497656"/>
    <w:rsid w:val="0F4B5A28"/>
    <w:rsid w:val="0F4D313E"/>
    <w:rsid w:val="0F4D75A3"/>
    <w:rsid w:val="0F53340E"/>
    <w:rsid w:val="0F5D017B"/>
    <w:rsid w:val="0F6239E3"/>
    <w:rsid w:val="0F645378"/>
    <w:rsid w:val="0F7301AD"/>
    <w:rsid w:val="0F797264"/>
    <w:rsid w:val="0F7F30FE"/>
    <w:rsid w:val="0F814841"/>
    <w:rsid w:val="0F851480"/>
    <w:rsid w:val="0F86283D"/>
    <w:rsid w:val="0F911145"/>
    <w:rsid w:val="0F917027"/>
    <w:rsid w:val="0F931DEF"/>
    <w:rsid w:val="0F94379E"/>
    <w:rsid w:val="0F96368D"/>
    <w:rsid w:val="0F992FDA"/>
    <w:rsid w:val="0F9A486D"/>
    <w:rsid w:val="0F9D3D43"/>
    <w:rsid w:val="0F9F2678"/>
    <w:rsid w:val="0FA05503"/>
    <w:rsid w:val="0FA062BA"/>
    <w:rsid w:val="0FAC3D7F"/>
    <w:rsid w:val="0FAD1E5F"/>
    <w:rsid w:val="0FAE0497"/>
    <w:rsid w:val="0FAE7DC9"/>
    <w:rsid w:val="0FB426A3"/>
    <w:rsid w:val="0FB74815"/>
    <w:rsid w:val="0FBC6819"/>
    <w:rsid w:val="0FC23C43"/>
    <w:rsid w:val="0FC25A38"/>
    <w:rsid w:val="0FC77F5A"/>
    <w:rsid w:val="0FD6424E"/>
    <w:rsid w:val="0FDB56BB"/>
    <w:rsid w:val="0FDD306A"/>
    <w:rsid w:val="0FDE7B81"/>
    <w:rsid w:val="0FE268D2"/>
    <w:rsid w:val="0FE4454B"/>
    <w:rsid w:val="0FEC1C8A"/>
    <w:rsid w:val="0FEE66D6"/>
    <w:rsid w:val="0FF171C0"/>
    <w:rsid w:val="0FF4222B"/>
    <w:rsid w:val="0FF7063E"/>
    <w:rsid w:val="0FF7412C"/>
    <w:rsid w:val="1004195A"/>
    <w:rsid w:val="10087A05"/>
    <w:rsid w:val="100F440E"/>
    <w:rsid w:val="1016396D"/>
    <w:rsid w:val="10166DFF"/>
    <w:rsid w:val="101B22F0"/>
    <w:rsid w:val="101D51C8"/>
    <w:rsid w:val="10214DC5"/>
    <w:rsid w:val="102F353C"/>
    <w:rsid w:val="103966ED"/>
    <w:rsid w:val="103D6B0B"/>
    <w:rsid w:val="10427CB3"/>
    <w:rsid w:val="105E23FD"/>
    <w:rsid w:val="105E6422"/>
    <w:rsid w:val="106335E5"/>
    <w:rsid w:val="10697C07"/>
    <w:rsid w:val="106A2B50"/>
    <w:rsid w:val="106F63B8"/>
    <w:rsid w:val="107112BF"/>
    <w:rsid w:val="10720914"/>
    <w:rsid w:val="1076083C"/>
    <w:rsid w:val="1077526D"/>
    <w:rsid w:val="107956FE"/>
    <w:rsid w:val="10887620"/>
    <w:rsid w:val="108F25B6"/>
    <w:rsid w:val="10A24A00"/>
    <w:rsid w:val="10A322F6"/>
    <w:rsid w:val="10A41155"/>
    <w:rsid w:val="10AB4ECC"/>
    <w:rsid w:val="10AF19E6"/>
    <w:rsid w:val="10B63C3D"/>
    <w:rsid w:val="10BB784F"/>
    <w:rsid w:val="10BF78A7"/>
    <w:rsid w:val="10CB342B"/>
    <w:rsid w:val="10D11FAF"/>
    <w:rsid w:val="10D403DF"/>
    <w:rsid w:val="10DC126C"/>
    <w:rsid w:val="10DC1574"/>
    <w:rsid w:val="10DE6CA7"/>
    <w:rsid w:val="10E36AAE"/>
    <w:rsid w:val="10E40FAC"/>
    <w:rsid w:val="10F040B0"/>
    <w:rsid w:val="10F04290"/>
    <w:rsid w:val="10F313EA"/>
    <w:rsid w:val="10F7015B"/>
    <w:rsid w:val="10F97212"/>
    <w:rsid w:val="10FA7ADC"/>
    <w:rsid w:val="10FF00D8"/>
    <w:rsid w:val="11003842"/>
    <w:rsid w:val="110B5653"/>
    <w:rsid w:val="111F525C"/>
    <w:rsid w:val="11203B56"/>
    <w:rsid w:val="112154E4"/>
    <w:rsid w:val="11230E9C"/>
    <w:rsid w:val="11285C58"/>
    <w:rsid w:val="113849FC"/>
    <w:rsid w:val="113E09A0"/>
    <w:rsid w:val="113E1735"/>
    <w:rsid w:val="114576E7"/>
    <w:rsid w:val="11587F33"/>
    <w:rsid w:val="11625A76"/>
    <w:rsid w:val="11670FDB"/>
    <w:rsid w:val="11683701"/>
    <w:rsid w:val="116C15D4"/>
    <w:rsid w:val="11734152"/>
    <w:rsid w:val="117618D4"/>
    <w:rsid w:val="117A18FA"/>
    <w:rsid w:val="118528B9"/>
    <w:rsid w:val="118950A6"/>
    <w:rsid w:val="118B4208"/>
    <w:rsid w:val="118C2F9A"/>
    <w:rsid w:val="11930DE5"/>
    <w:rsid w:val="11A90163"/>
    <w:rsid w:val="11AE7381"/>
    <w:rsid w:val="11AF0224"/>
    <w:rsid w:val="11B038B5"/>
    <w:rsid w:val="11BD38D9"/>
    <w:rsid w:val="11BF3C37"/>
    <w:rsid w:val="11C152B7"/>
    <w:rsid w:val="11C32F0B"/>
    <w:rsid w:val="11D14C05"/>
    <w:rsid w:val="11D54EAE"/>
    <w:rsid w:val="11E770C9"/>
    <w:rsid w:val="11E95673"/>
    <w:rsid w:val="11EE70BB"/>
    <w:rsid w:val="11EE7266"/>
    <w:rsid w:val="11EF2F26"/>
    <w:rsid w:val="11F23429"/>
    <w:rsid w:val="11F45A81"/>
    <w:rsid w:val="11FD51EA"/>
    <w:rsid w:val="120759AE"/>
    <w:rsid w:val="121511E1"/>
    <w:rsid w:val="121606C7"/>
    <w:rsid w:val="121A471B"/>
    <w:rsid w:val="121A7099"/>
    <w:rsid w:val="121C431D"/>
    <w:rsid w:val="121E64FD"/>
    <w:rsid w:val="122344CA"/>
    <w:rsid w:val="122A3301"/>
    <w:rsid w:val="122A72FB"/>
    <w:rsid w:val="122B4298"/>
    <w:rsid w:val="122B4561"/>
    <w:rsid w:val="122E169F"/>
    <w:rsid w:val="123618EC"/>
    <w:rsid w:val="12375ACC"/>
    <w:rsid w:val="123B43EC"/>
    <w:rsid w:val="123D623A"/>
    <w:rsid w:val="123E31C8"/>
    <w:rsid w:val="124F6F89"/>
    <w:rsid w:val="12536B62"/>
    <w:rsid w:val="12556DE4"/>
    <w:rsid w:val="12576964"/>
    <w:rsid w:val="125B296E"/>
    <w:rsid w:val="126B033B"/>
    <w:rsid w:val="126D4B79"/>
    <w:rsid w:val="126D6BC5"/>
    <w:rsid w:val="126E0620"/>
    <w:rsid w:val="126F6B43"/>
    <w:rsid w:val="12734994"/>
    <w:rsid w:val="12827569"/>
    <w:rsid w:val="12850C00"/>
    <w:rsid w:val="12860983"/>
    <w:rsid w:val="12865783"/>
    <w:rsid w:val="12865C3B"/>
    <w:rsid w:val="12891A4E"/>
    <w:rsid w:val="12934303"/>
    <w:rsid w:val="12A1236C"/>
    <w:rsid w:val="12A35FCD"/>
    <w:rsid w:val="12A61E39"/>
    <w:rsid w:val="12A72CD1"/>
    <w:rsid w:val="12AF22E3"/>
    <w:rsid w:val="12B10FDB"/>
    <w:rsid w:val="12BA4A49"/>
    <w:rsid w:val="12C86253"/>
    <w:rsid w:val="12C93346"/>
    <w:rsid w:val="12CC5F67"/>
    <w:rsid w:val="12CF0C39"/>
    <w:rsid w:val="12D15108"/>
    <w:rsid w:val="12D270D2"/>
    <w:rsid w:val="12D746E8"/>
    <w:rsid w:val="12D774E9"/>
    <w:rsid w:val="12D87388"/>
    <w:rsid w:val="12DB5443"/>
    <w:rsid w:val="12DF0227"/>
    <w:rsid w:val="12E21E27"/>
    <w:rsid w:val="12E75A14"/>
    <w:rsid w:val="12ED356E"/>
    <w:rsid w:val="12FE2BED"/>
    <w:rsid w:val="13024832"/>
    <w:rsid w:val="130C6140"/>
    <w:rsid w:val="13226096"/>
    <w:rsid w:val="1324780E"/>
    <w:rsid w:val="132D32F1"/>
    <w:rsid w:val="132E4582"/>
    <w:rsid w:val="13416CCA"/>
    <w:rsid w:val="134A5AAE"/>
    <w:rsid w:val="135202EC"/>
    <w:rsid w:val="13573133"/>
    <w:rsid w:val="135A16A4"/>
    <w:rsid w:val="13623461"/>
    <w:rsid w:val="136C2D97"/>
    <w:rsid w:val="136E2957"/>
    <w:rsid w:val="137B1189"/>
    <w:rsid w:val="137C7558"/>
    <w:rsid w:val="137E2058"/>
    <w:rsid w:val="13865F4E"/>
    <w:rsid w:val="139465FF"/>
    <w:rsid w:val="13954387"/>
    <w:rsid w:val="13A94E8D"/>
    <w:rsid w:val="13AA5959"/>
    <w:rsid w:val="13AA5CA4"/>
    <w:rsid w:val="13B03114"/>
    <w:rsid w:val="13B660AC"/>
    <w:rsid w:val="13B81E24"/>
    <w:rsid w:val="13C50CC4"/>
    <w:rsid w:val="13CA67C3"/>
    <w:rsid w:val="13DD3682"/>
    <w:rsid w:val="13DD4C1B"/>
    <w:rsid w:val="13EA5766"/>
    <w:rsid w:val="14025795"/>
    <w:rsid w:val="140609FD"/>
    <w:rsid w:val="140D02B4"/>
    <w:rsid w:val="141A0226"/>
    <w:rsid w:val="141A7A78"/>
    <w:rsid w:val="142539BF"/>
    <w:rsid w:val="144841C2"/>
    <w:rsid w:val="14491A4A"/>
    <w:rsid w:val="145046B4"/>
    <w:rsid w:val="14564CCF"/>
    <w:rsid w:val="14570344"/>
    <w:rsid w:val="145A112D"/>
    <w:rsid w:val="146178CA"/>
    <w:rsid w:val="146745D4"/>
    <w:rsid w:val="146A7D86"/>
    <w:rsid w:val="14737EE4"/>
    <w:rsid w:val="14773EFC"/>
    <w:rsid w:val="14795F80"/>
    <w:rsid w:val="147D77AF"/>
    <w:rsid w:val="14816B28"/>
    <w:rsid w:val="148554C7"/>
    <w:rsid w:val="14912EC0"/>
    <w:rsid w:val="14983A03"/>
    <w:rsid w:val="149E7A4F"/>
    <w:rsid w:val="14A75ACD"/>
    <w:rsid w:val="14A81E98"/>
    <w:rsid w:val="14A829C5"/>
    <w:rsid w:val="14A979BF"/>
    <w:rsid w:val="14AD3953"/>
    <w:rsid w:val="14B43D17"/>
    <w:rsid w:val="14C84E39"/>
    <w:rsid w:val="14C87DE8"/>
    <w:rsid w:val="14CC7B66"/>
    <w:rsid w:val="14D01061"/>
    <w:rsid w:val="14D7452C"/>
    <w:rsid w:val="14DA010D"/>
    <w:rsid w:val="14E6137B"/>
    <w:rsid w:val="14EB66BB"/>
    <w:rsid w:val="14ED3166"/>
    <w:rsid w:val="14F56FFA"/>
    <w:rsid w:val="14F902B1"/>
    <w:rsid w:val="14F926F4"/>
    <w:rsid w:val="14FF4FB7"/>
    <w:rsid w:val="15024818"/>
    <w:rsid w:val="15064E11"/>
    <w:rsid w:val="15071DBA"/>
    <w:rsid w:val="15222914"/>
    <w:rsid w:val="153001C5"/>
    <w:rsid w:val="153662E0"/>
    <w:rsid w:val="153E332B"/>
    <w:rsid w:val="15406575"/>
    <w:rsid w:val="15442DF3"/>
    <w:rsid w:val="1545415E"/>
    <w:rsid w:val="154739D2"/>
    <w:rsid w:val="15596ECA"/>
    <w:rsid w:val="155C2428"/>
    <w:rsid w:val="15636D43"/>
    <w:rsid w:val="156A100C"/>
    <w:rsid w:val="156B7248"/>
    <w:rsid w:val="157726B5"/>
    <w:rsid w:val="15781ECE"/>
    <w:rsid w:val="15842905"/>
    <w:rsid w:val="158B5B98"/>
    <w:rsid w:val="158F4E06"/>
    <w:rsid w:val="15943F7A"/>
    <w:rsid w:val="159468C1"/>
    <w:rsid w:val="159D78FE"/>
    <w:rsid w:val="15A94E30"/>
    <w:rsid w:val="15AB0DEE"/>
    <w:rsid w:val="15B1722F"/>
    <w:rsid w:val="15C9656A"/>
    <w:rsid w:val="15CB65B8"/>
    <w:rsid w:val="15CE2E3E"/>
    <w:rsid w:val="15D171CD"/>
    <w:rsid w:val="15D65CB7"/>
    <w:rsid w:val="15DC5E69"/>
    <w:rsid w:val="15E11B06"/>
    <w:rsid w:val="15E46F00"/>
    <w:rsid w:val="15E87B4F"/>
    <w:rsid w:val="15ED696C"/>
    <w:rsid w:val="15F910E0"/>
    <w:rsid w:val="16004EE4"/>
    <w:rsid w:val="16074AA5"/>
    <w:rsid w:val="16125D59"/>
    <w:rsid w:val="161C41D6"/>
    <w:rsid w:val="161D68B6"/>
    <w:rsid w:val="1622259A"/>
    <w:rsid w:val="16357A6D"/>
    <w:rsid w:val="164E4CC1"/>
    <w:rsid w:val="164F4758"/>
    <w:rsid w:val="165461AF"/>
    <w:rsid w:val="16585B40"/>
    <w:rsid w:val="1666200B"/>
    <w:rsid w:val="16726C02"/>
    <w:rsid w:val="167768EE"/>
    <w:rsid w:val="167A7865"/>
    <w:rsid w:val="16822A58"/>
    <w:rsid w:val="168269A3"/>
    <w:rsid w:val="16843B2D"/>
    <w:rsid w:val="16856680"/>
    <w:rsid w:val="16860720"/>
    <w:rsid w:val="168751F4"/>
    <w:rsid w:val="168C520B"/>
    <w:rsid w:val="168E3310"/>
    <w:rsid w:val="16925883"/>
    <w:rsid w:val="169A3A63"/>
    <w:rsid w:val="169A57FF"/>
    <w:rsid w:val="16A444A6"/>
    <w:rsid w:val="16B26B34"/>
    <w:rsid w:val="16B41D43"/>
    <w:rsid w:val="16B41DA5"/>
    <w:rsid w:val="16B64EDE"/>
    <w:rsid w:val="16B8789C"/>
    <w:rsid w:val="16C104FD"/>
    <w:rsid w:val="16C805D0"/>
    <w:rsid w:val="16CA7466"/>
    <w:rsid w:val="16CF55A9"/>
    <w:rsid w:val="16D056D6"/>
    <w:rsid w:val="16D1185B"/>
    <w:rsid w:val="16D7073B"/>
    <w:rsid w:val="16D90A2F"/>
    <w:rsid w:val="16DC063C"/>
    <w:rsid w:val="16E50CE2"/>
    <w:rsid w:val="16E64EFA"/>
    <w:rsid w:val="16EB2510"/>
    <w:rsid w:val="16ED396B"/>
    <w:rsid w:val="16F5513D"/>
    <w:rsid w:val="16F771CA"/>
    <w:rsid w:val="17080594"/>
    <w:rsid w:val="170843B6"/>
    <w:rsid w:val="17125CEF"/>
    <w:rsid w:val="17127A9D"/>
    <w:rsid w:val="17144177"/>
    <w:rsid w:val="17171030"/>
    <w:rsid w:val="1719707D"/>
    <w:rsid w:val="171B1048"/>
    <w:rsid w:val="171C1BAC"/>
    <w:rsid w:val="172420F4"/>
    <w:rsid w:val="172428FE"/>
    <w:rsid w:val="17254427"/>
    <w:rsid w:val="1729606D"/>
    <w:rsid w:val="173105BD"/>
    <w:rsid w:val="173A4B6F"/>
    <w:rsid w:val="173B3498"/>
    <w:rsid w:val="173C573C"/>
    <w:rsid w:val="17463DC3"/>
    <w:rsid w:val="174A713A"/>
    <w:rsid w:val="17577E25"/>
    <w:rsid w:val="175D565F"/>
    <w:rsid w:val="176522C3"/>
    <w:rsid w:val="17671F09"/>
    <w:rsid w:val="176B35FE"/>
    <w:rsid w:val="17884203"/>
    <w:rsid w:val="1798021E"/>
    <w:rsid w:val="17990076"/>
    <w:rsid w:val="17991B03"/>
    <w:rsid w:val="179940CF"/>
    <w:rsid w:val="17A0154D"/>
    <w:rsid w:val="17A27073"/>
    <w:rsid w:val="17A759F6"/>
    <w:rsid w:val="17AB28FA"/>
    <w:rsid w:val="17AE74B2"/>
    <w:rsid w:val="17B35409"/>
    <w:rsid w:val="17B41CAA"/>
    <w:rsid w:val="17B70B06"/>
    <w:rsid w:val="17B726ED"/>
    <w:rsid w:val="17B95B8B"/>
    <w:rsid w:val="17BD1839"/>
    <w:rsid w:val="17C35302"/>
    <w:rsid w:val="17C70888"/>
    <w:rsid w:val="17CB5990"/>
    <w:rsid w:val="17D05B7D"/>
    <w:rsid w:val="17D12DD9"/>
    <w:rsid w:val="17D8212E"/>
    <w:rsid w:val="17DE3ACD"/>
    <w:rsid w:val="17E34382"/>
    <w:rsid w:val="17E53404"/>
    <w:rsid w:val="17E8122A"/>
    <w:rsid w:val="17E969D9"/>
    <w:rsid w:val="17EA3DC7"/>
    <w:rsid w:val="17EB1387"/>
    <w:rsid w:val="17EC37B1"/>
    <w:rsid w:val="17EE701F"/>
    <w:rsid w:val="17F8352F"/>
    <w:rsid w:val="17F856D1"/>
    <w:rsid w:val="17FC24D6"/>
    <w:rsid w:val="18040F46"/>
    <w:rsid w:val="18060E2A"/>
    <w:rsid w:val="180970F2"/>
    <w:rsid w:val="181D2723"/>
    <w:rsid w:val="182460A7"/>
    <w:rsid w:val="182A3CB0"/>
    <w:rsid w:val="182C4503"/>
    <w:rsid w:val="182E35B5"/>
    <w:rsid w:val="18323044"/>
    <w:rsid w:val="183717D2"/>
    <w:rsid w:val="183A6967"/>
    <w:rsid w:val="183A6E9C"/>
    <w:rsid w:val="1840263A"/>
    <w:rsid w:val="184E4C40"/>
    <w:rsid w:val="1859003E"/>
    <w:rsid w:val="185D2F9A"/>
    <w:rsid w:val="18605A09"/>
    <w:rsid w:val="186B1B5B"/>
    <w:rsid w:val="186B3909"/>
    <w:rsid w:val="186C3114"/>
    <w:rsid w:val="186E1D25"/>
    <w:rsid w:val="18730A0F"/>
    <w:rsid w:val="18756535"/>
    <w:rsid w:val="18796A4B"/>
    <w:rsid w:val="187E10B0"/>
    <w:rsid w:val="188E4057"/>
    <w:rsid w:val="188E6869"/>
    <w:rsid w:val="189605B7"/>
    <w:rsid w:val="189C0982"/>
    <w:rsid w:val="189D783A"/>
    <w:rsid w:val="18C8044F"/>
    <w:rsid w:val="18CD2FE3"/>
    <w:rsid w:val="18CF0229"/>
    <w:rsid w:val="18D535F4"/>
    <w:rsid w:val="18D66BFB"/>
    <w:rsid w:val="18DD49D1"/>
    <w:rsid w:val="18E15979"/>
    <w:rsid w:val="18E2114D"/>
    <w:rsid w:val="18E462F0"/>
    <w:rsid w:val="18EA7D11"/>
    <w:rsid w:val="18ED2E1F"/>
    <w:rsid w:val="18F51424"/>
    <w:rsid w:val="19004454"/>
    <w:rsid w:val="19053D5D"/>
    <w:rsid w:val="19086347"/>
    <w:rsid w:val="19092957"/>
    <w:rsid w:val="19131442"/>
    <w:rsid w:val="191651CC"/>
    <w:rsid w:val="191E7E46"/>
    <w:rsid w:val="193006AE"/>
    <w:rsid w:val="19351DA0"/>
    <w:rsid w:val="193B33E2"/>
    <w:rsid w:val="194128BC"/>
    <w:rsid w:val="194164F1"/>
    <w:rsid w:val="194408AE"/>
    <w:rsid w:val="1949071A"/>
    <w:rsid w:val="19496746"/>
    <w:rsid w:val="194D1260"/>
    <w:rsid w:val="19575C3B"/>
    <w:rsid w:val="195F2D42"/>
    <w:rsid w:val="196B3975"/>
    <w:rsid w:val="197B7F47"/>
    <w:rsid w:val="1980539B"/>
    <w:rsid w:val="19805F23"/>
    <w:rsid w:val="1983266F"/>
    <w:rsid w:val="19876E8D"/>
    <w:rsid w:val="198A6011"/>
    <w:rsid w:val="198D0E2D"/>
    <w:rsid w:val="19933795"/>
    <w:rsid w:val="19A91586"/>
    <w:rsid w:val="19AA3DFF"/>
    <w:rsid w:val="19AC73B3"/>
    <w:rsid w:val="19B75AE4"/>
    <w:rsid w:val="19BE3F0C"/>
    <w:rsid w:val="19CF7EC7"/>
    <w:rsid w:val="19D11E91"/>
    <w:rsid w:val="19D21766"/>
    <w:rsid w:val="19DD4C7B"/>
    <w:rsid w:val="19E47F4C"/>
    <w:rsid w:val="19F00184"/>
    <w:rsid w:val="19FA7AB8"/>
    <w:rsid w:val="19FC0935"/>
    <w:rsid w:val="1A002328"/>
    <w:rsid w:val="1A0A53A3"/>
    <w:rsid w:val="1A0C1DA4"/>
    <w:rsid w:val="1A1222AE"/>
    <w:rsid w:val="1A240ADD"/>
    <w:rsid w:val="1A272DB4"/>
    <w:rsid w:val="1A2802F8"/>
    <w:rsid w:val="1A2A0CBD"/>
    <w:rsid w:val="1A307E75"/>
    <w:rsid w:val="1A384B82"/>
    <w:rsid w:val="1A4563DB"/>
    <w:rsid w:val="1A563D57"/>
    <w:rsid w:val="1A5B170E"/>
    <w:rsid w:val="1A5D10F5"/>
    <w:rsid w:val="1A624807"/>
    <w:rsid w:val="1A674872"/>
    <w:rsid w:val="1A674F2C"/>
    <w:rsid w:val="1A6C2644"/>
    <w:rsid w:val="1A6D2E40"/>
    <w:rsid w:val="1A750A6F"/>
    <w:rsid w:val="1A8040EC"/>
    <w:rsid w:val="1A814ECF"/>
    <w:rsid w:val="1A8C7B66"/>
    <w:rsid w:val="1A9104E1"/>
    <w:rsid w:val="1A93620C"/>
    <w:rsid w:val="1A9829AF"/>
    <w:rsid w:val="1A9E3E1C"/>
    <w:rsid w:val="1AAB4490"/>
    <w:rsid w:val="1AAB518F"/>
    <w:rsid w:val="1AAE6B91"/>
    <w:rsid w:val="1AC01557"/>
    <w:rsid w:val="1ACC1AB1"/>
    <w:rsid w:val="1ACF4C13"/>
    <w:rsid w:val="1AD37E23"/>
    <w:rsid w:val="1AD54082"/>
    <w:rsid w:val="1ADA2FC8"/>
    <w:rsid w:val="1ADD03C2"/>
    <w:rsid w:val="1ADF1192"/>
    <w:rsid w:val="1AE041AA"/>
    <w:rsid w:val="1AE42899"/>
    <w:rsid w:val="1AE53ED7"/>
    <w:rsid w:val="1AE65F6A"/>
    <w:rsid w:val="1AE82743"/>
    <w:rsid w:val="1AEB7E89"/>
    <w:rsid w:val="1AF55126"/>
    <w:rsid w:val="1AF871A0"/>
    <w:rsid w:val="1B03607B"/>
    <w:rsid w:val="1B0B13D3"/>
    <w:rsid w:val="1B107113"/>
    <w:rsid w:val="1B12714F"/>
    <w:rsid w:val="1B2F22D4"/>
    <w:rsid w:val="1B323A40"/>
    <w:rsid w:val="1B334486"/>
    <w:rsid w:val="1B362FB2"/>
    <w:rsid w:val="1B3D7EA7"/>
    <w:rsid w:val="1B46240B"/>
    <w:rsid w:val="1B4D2A77"/>
    <w:rsid w:val="1B586210"/>
    <w:rsid w:val="1B5B0703"/>
    <w:rsid w:val="1B5D4E91"/>
    <w:rsid w:val="1B614DC8"/>
    <w:rsid w:val="1B6647E3"/>
    <w:rsid w:val="1B682F84"/>
    <w:rsid w:val="1B6D1F35"/>
    <w:rsid w:val="1B6E0E75"/>
    <w:rsid w:val="1B6E20A0"/>
    <w:rsid w:val="1B731B35"/>
    <w:rsid w:val="1B781C79"/>
    <w:rsid w:val="1B811695"/>
    <w:rsid w:val="1B8315DA"/>
    <w:rsid w:val="1B854CE1"/>
    <w:rsid w:val="1B9002F6"/>
    <w:rsid w:val="1B967720"/>
    <w:rsid w:val="1B981F39"/>
    <w:rsid w:val="1B984A33"/>
    <w:rsid w:val="1B9A62B3"/>
    <w:rsid w:val="1B9D5EB9"/>
    <w:rsid w:val="1BA13AC9"/>
    <w:rsid w:val="1BA26A93"/>
    <w:rsid w:val="1BA35016"/>
    <w:rsid w:val="1BB853A2"/>
    <w:rsid w:val="1BBC26CD"/>
    <w:rsid w:val="1BC51582"/>
    <w:rsid w:val="1BCC5BBF"/>
    <w:rsid w:val="1BCD6688"/>
    <w:rsid w:val="1BFA0AFD"/>
    <w:rsid w:val="1C044C37"/>
    <w:rsid w:val="1C0B2866"/>
    <w:rsid w:val="1C0C45FB"/>
    <w:rsid w:val="1C0F0A4F"/>
    <w:rsid w:val="1C107C4E"/>
    <w:rsid w:val="1C143E43"/>
    <w:rsid w:val="1C1B2049"/>
    <w:rsid w:val="1C2F4C4D"/>
    <w:rsid w:val="1C3139AA"/>
    <w:rsid w:val="1C455D07"/>
    <w:rsid w:val="1C4C1CA3"/>
    <w:rsid w:val="1C4C34BD"/>
    <w:rsid w:val="1C4E1577"/>
    <w:rsid w:val="1C5077C5"/>
    <w:rsid w:val="1C5C27E1"/>
    <w:rsid w:val="1C5C5493"/>
    <w:rsid w:val="1C5E2757"/>
    <w:rsid w:val="1C5F003B"/>
    <w:rsid w:val="1C61254A"/>
    <w:rsid w:val="1C691D97"/>
    <w:rsid w:val="1C6A0BD4"/>
    <w:rsid w:val="1C6C40F3"/>
    <w:rsid w:val="1C6D1F59"/>
    <w:rsid w:val="1C6D37AC"/>
    <w:rsid w:val="1C7205A6"/>
    <w:rsid w:val="1C722793"/>
    <w:rsid w:val="1C78173C"/>
    <w:rsid w:val="1C790782"/>
    <w:rsid w:val="1C84260D"/>
    <w:rsid w:val="1C930EE2"/>
    <w:rsid w:val="1C975280"/>
    <w:rsid w:val="1C9B4B0B"/>
    <w:rsid w:val="1CA05B4B"/>
    <w:rsid w:val="1CA36708"/>
    <w:rsid w:val="1CBB3C53"/>
    <w:rsid w:val="1CC22286"/>
    <w:rsid w:val="1CC7757C"/>
    <w:rsid w:val="1CCA585A"/>
    <w:rsid w:val="1CCA5DDD"/>
    <w:rsid w:val="1CCD4ACA"/>
    <w:rsid w:val="1CD1737B"/>
    <w:rsid w:val="1CDC4DD5"/>
    <w:rsid w:val="1CEA7327"/>
    <w:rsid w:val="1CED60A4"/>
    <w:rsid w:val="1CEE4B08"/>
    <w:rsid w:val="1CF309B0"/>
    <w:rsid w:val="1CF30AF6"/>
    <w:rsid w:val="1CF874A6"/>
    <w:rsid w:val="1CF87735"/>
    <w:rsid w:val="1CFA4367"/>
    <w:rsid w:val="1CFA525B"/>
    <w:rsid w:val="1CFC5477"/>
    <w:rsid w:val="1D004E70"/>
    <w:rsid w:val="1D090CB6"/>
    <w:rsid w:val="1D0C68CD"/>
    <w:rsid w:val="1D0D14F8"/>
    <w:rsid w:val="1D1C1676"/>
    <w:rsid w:val="1D1C1E42"/>
    <w:rsid w:val="1D213EDD"/>
    <w:rsid w:val="1D230C56"/>
    <w:rsid w:val="1D2C4CD3"/>
    <w:rsid w:val="1D2C67FD"/>
    <w:rsid w:val="1D2F4F84"/>
    <w:rsid w:val="1D31027E"/>
    <w:rsid w:val="1D3369BF"/>
    <w:rsid w:val="1D43132D"/>
    <w:rsid w:val="1D436C02"/>
    <w:rsid w:val="1D447FC4"/>
    <w:rsid w:val="1D477F33"/>
    <w:rsid w:val="1D4A019B"/>
    <w:rsid w:val="1D4A52DE"/>
    <w:rsid w:val="1D4B179F"/>
    <w:rsid w:val="1D4B1F5B"/>
    <w:rsid w:val="1D550F44"/>
    <w:rsid w:val="1D5521E7"/>
    <w:rsid w:val="1D5672A8"/>
    <w:rsid w:val="1D57763C"/>
    <w:rsid w:val="1D5A3F4C"/>
    <w:rsid w:val="1D5B6CCA"/>
    <w:rsid w:val="1D66588B"/>
    <w:rsid w:val="1D7410E1"/>
    <w:rsid w:val="1D746AFD"/>
    <w:rsid w:val="1D7503AD"/>
    <w:rsid w:val="1D842E90"/>
    <w:rsid w:val="1D886D0B"/>
    <w:rsid w:val="1D8946B3"/>
    <w:rsid w:val="1D90647F"/>
    <w:rsid w:val="1D9C5C42"/>
    <w:rsid w:val="1DA059B3"/>
    <w:rsid w:val="1DA17DCD"/>
    <w:rsid w:val="1DA351CC"/>
    <w:rsid w:val="1DA656F7"/>
    <w:rsid w:val="1DB433C9"/>
    <w:rsid w:val="1DB573D4"/>
    <w:rsid w:val="1DB63878"/>
    <w:rsid w:val="1DB775F0"/>
    <w:rsid w:val="1DBD53D6"/>
    <w:rsid w:val="1DC05B93"/>
    <w:rsid w:val="1DD2248E"/>
    <w:rsid w:val="1DD703C7"/>
    <w:rsid w:val="1DDC0E05"/>
    <w:rsid w:val="1DE5454C"/>
    <w:rsid w:val="1DF56298"/>
    <w:rsid w:val="1DF94013"/>
    <w:rsid w:val="1E0D753D"/>
    <w:rsid w:val="1E104108"/>
    <w:rsid w:val="1E222CBC"/>
    <w:rsid w:val="1E262AEF"/>
    <w:rsid w:val="1E2D6899"/>
    <w:rsid w:val="1E316A92"/>
    <w:rsid w:val="1E396257"/>
    <w:rsid w:val="1E45367F"/>
    <w:rsid w:val="1E5714F3"/>
    <w:rsid w:val="1E6610B6"/>
    <w:rsid w:val="1E6869EA"/>
    <w:rsid w:val="1E6D0CBB"/>
    <w:rsid w:val="1E7605F3"/>
    <w:rsid w:val="1E9A0F35"/>
    <w:rsid w:val="1E9B0CC0"/>
    <w:rsid w:val="1E9C0143"/>
    <w:rsid w:val="1EA02B6E"/>
    <w:rsid w:val="1EA257BF"/>
    <w:rsid w:val="1EA96F39"/>
    <w:rsid w:val="1EAA6178"/>
    <w:rsid w:val="1EB608E2"/>
    <w:rsid w:val="1EB83620"/>
    <w:rsid w:val="1EBB43D5"/>
    <w:rsid w:val="1EBC2E4F"/>
    <w:rsid w:val="1EBF50F6"/>
    <w:rsid w:val="1EC52842"/>
    <w:rsid w:val="1ECE67C2"/>
    <w:rsid w:val="1ED04738"/>
    <w:rsid w:val="1ED173B9"/>
    <w:rsid w:val="1EE95222"/>
    <w:rsid w:val="1EEC17A5"/>
    <w:rsid w:val="1EF14260"/>
    <w:rsid w:val="1F007657"/>
    <w:rsid w:val="1F0764D5"/>
    <w:rsid w:val="1F090966"/>
    <w:rsid w:val="1F0A5FF4"/>
    <w:rsid w:val="1F132604"/>
    <w:rsid w:val="1F157509"/>
    <w:rsid w:val="1F1C595D"/>
    <w:rsid w:val="1F271EF8"/>
    <w:rsid w:val="1F2C36C6"/>
    <w:rsid w:val="1F2D02E7"/>
    <w:rsid w:val="1F3233D2"/>
    <w:rsid w:val="1F363C2D"/>
    <w:rsid w:val="1F3D1B22"/>
    <w:rsid w:val="1F3E452C"/>
    <w:rsid w:val="1F406FC2"/>
    <w:rsid w:val="1F4C4A3C"/>
    <w:rsid w:val="1F513E14"/>
    <w:rsid w:val="1F5723F1"/>
    <w:rsid w:val="1F591B65"/>
    <w:rsid w:val="1F6D5D1D"/>
    <w:rsid w:val="1F710406"/>
    <w:rsid w:val="1F820C68"/>
    <w:rsid w:val="1F880A4A"/>
    <w:rsid w:val="1F9806FB"/>
    <w:rsid w:val="1FA22380"/>
    <w:rsid w:val="1FA35C6C"/>
    <w:rsid w:val="1FA871F0"/>
    <w:rsid w:val="1FA92F69"/>
    <w:rsid w:val="1FAD2A59"/>
    <w:rsid w:val="1FB820BC"/>
    <w:rsid w:val="1FC73B21"/>
    <w:rsid w:val="1FD114B5"/>
    <w:rsid w:val="1FD4189C"/>
    <w:rsid w:val="1FD46237"/>
    <w:rsid w:val="1FD53D5E"/>
    <w:rsid w:val="1FD76FB4"/>
    <w:rsid w:val="1FDA73B0"/>
    <w:rsid w:val="1FFC71E1"/>
    <w:rsid w:val="1FFE7E7B"/>
    <w:rsid w:val="200115FB"/>
    <w:rsid w:val="200C047F"/>
    <w:rsid w:val="200D291B"/>
    <w:rsid w:val="201673B4"/>
    <w:rsid w:val="201B3E66"/>
    <w:rsid w:val="2029517F"/>
    <w:rsid w:val="202D76F6"/>
    <w:rsid w:val="202F4880"/>
    <w:rsid w:val="2040339D"/>
    <w:rsid w:val="204B4E9F"/>
    <w:rsid w:val="204C2E85"/>
    <w:rsid w:val="205C6AC4"/>
    <w:rsid w:val="20634EA4"/>
    <w:rsid w:val="206A26F8"/>
    <w:rsid w:val="2079293B"/>
    <w:rsid w:val="207D4EBA"/>
    <w:rsid w:val="207D68CF"/>
    <w:rsid w:val="2083359E"/>
    <w:rsid w:val="208D3D90"/>
    <w:rsid w:val="208D4F7C"/>
    <w:rsid w:val="20971013"/>
    <w:rsid w:val="209D52A9"/>
    <w:rsid w:val="209E6775"/>
    <w:rsid w:val="20A3794C"/>
    <w:rsid w:val="20B001A6"/>
    <w:rsid w:val="20B46EB2"/>
    <w:rsid w:val="20B5269A"/>
    <w:rsid w:val="20BD60C9"/>
    <w:rsid w:val="20C16415"/>
    <w:rsid w:val="20C234DB"/>
    <w:rsid w:val="20CB79FF"/>
    <w:rsid w:val="20D1317E"/>
    <w:rsid w:val="20D47088"/>
    <w:rsid w:val="20D504B9"/>
    <w:rsid w:val="20DE7674"/>
    <w:rsid w:val="20E47CC5"/>
    <w:rsid w:val="20EE50D7"/>
    <w:rsid w:val="20F31645"/>
    <w:rsid w:val="20F47A22"/>
    <w:rsid w:val="20F95912"/>
    <w:rsid w:val="20FC2D2D"/>
    <w:rsid w:val="21003C61"/>
    <w:rsid w:val="210558ED"/>
    <w:rsid w:val="210677A8"/>
    <w:rsid w:val="21075A87"/>
    <w:rsid w:val="21111190"/>
    <w:rsid w:val="211363DC"/>
    <w:rsid w:val="21161180"/>
    <w:rsid w:val="2118245A"/>
    <w:rsid w:val="211F2C4D"/>
    <w:rsid w:val="212014B9"/>
    <w:rsid w:val="212063BA"/>
    <w:rsid w:val="212136FE"/>
    <w:rsid w:val="21231D3B"/>
    <w:rsid w:val="21327246"/>
    <w:rsid w:val="21350F58"/>
    <w:rsid w:val="21367150"/>
    <w:rsid w:val="21434385"/>
    <w:rsid w:val="214D44F3"/>
    <w:rsid w:val="21573F76"/>
    <w:rsid w:val="2158606B"/>
    <w:rsid w:val="215869F4"/>
    <w:rsid w:val="215B1109"/>
    <w:rsid w:val="215C6555"/>
    <w:rsid w:val="215D022C"/>
    <w:rsid w:val="21616461"/>
    <w:rsid w:val="21640B29"/>
    <w:rsid w:val="21674E89"/>
    <w:rsid w:val="21733F83"/>
    <w:rsid w:val="217464D4"/>
    <w:rsid w:val="217D7538"/>
    <w:rsid w:val="217F2DAF"/>
    <w:rsid w:val="21826A92"/>
    <w:rsid w:val="21894E00"/>
    <w:rsid w:val="218B1951"/>
    <w:rsid w:val="2190618E"/>
    <w:rsid w:val="21A31505"/>
    <w:rsid w:val="21AC2E57"/>
    <w:rsid w:val="21AE0F6B"/>
    <w:rsid w:val="21B83853"/>
    <w:rsid w:val="21C869FF"/>
    <w:rsid w:val="21C90A56"/>
    <w:rsid w:val="21CC2E16"/>
    <w:rsid w:val="21D42028"/>
    <w:rsid w:val="21EF6F4D"/>
    <w:rsid w:val="21F46F6C"/>
    <w:rsid w:val="21F548E3"/>
    <w:rsid w:val="21F6451C"/>
    <w:rsid w:val="21FC68AA"/>
    <w:rsid w:val="21FF5728"/>
    <w:rsid w:val="220D5A31"/>
    <w:rsid w:val="22141F30"/>
    <w:rsid w:val="22164E57"/>
    <w:rsid w:val="221B63A0"/>
    <w:rsid w:val="22235254"/>
    <w:rsid w:val="22244B28"/>
    <w:rsid w:val="222563D6"/>
    <w:rsid w:val="22265DC5"/>
    <w:rsid w:val="22312730"/>
    <w:rsid w:val="22361AC2"/>
    <w:rsid w:val="22377F18"/>
    <w:rsid w:val="223A0E41"/>
    <w:rsid w:val="2246376D"/>
    <w:rsid w:val="224B74F3"/>
    <w:rsid w:val="22545267"/>
    <w:rsid w:val="22585395"/>
    <w:rsid w:val="225A1279"/>
    <w:rsid w:val="226222F9"/>
    <w:rsid w:val="227A6C69"/>
    <w:rsid w:val="22821F7B"/>
    <w:rsid w:val="228A70EB"/>
    <w:rsid w:val="228C2DF9"/>
    <w:rsid w:val="228D4BC3"/>
    <w:rsid w:val="228E61FB"/>
    <w:rsid w:val="228E6F94"/>
    <w:rsid w:val="229355B0"/>
    <w:rsid w:val="229A1316"/>
    <w:rsid w:val="229E0D7F"/>
    <w:rsid w:val="22A0130A"/>
    <w:rsid w:val="22A82404"/>
    <w:rsid w:val="22AF0896"/>
    <w:rsid w:val="22AF52FB"/>
    <w:rsid w:val="22B14C51"/>
    <w:rsid w:val="22B63BB8"/>
    <w:rsid w:val="22BF31CF"/>
    <w:rsid w:val="22CB1FC1"/>
    <w:rsid w:val="22D03574"/>
    <w:rsid w:val="22DE1085"/>
    <w:rsid w:val="22EE7D3E"/>
    <w:rsid w:val="22EF1E61"/>
    <w:rsid w:val="22F32E79"/>
    <w:rsid w:val="22F5250C"/>
    <w:rsid w:val="22F8223D"/>
    <w:rsid w:val="22FF67F0"/>
    <w:rsid w:val="23021DF6"/>
    <w:rsid w:val="230321DC"/>
    <w:rsid w:val="230326C9"/>
    <w:rsid w:val="23035B91"/>
    <w:rsid w:val="23036E4B"/>
    <w:rsid w:val="23037ED2"/>
    <w:rsid w:val="2309444A"/>
    <w:rsid w:val="23101027"/>
    <w:rsid w:val="23115DE6"/>
    <w:rsid w:val="23160C57"/>
    <w:rsid w:val="23182357"/>
    <w:rsid w:val="231B5F2B"/>
    <w:rsid w:val="231E3494"/>
    <w:rsid w:val="232A616E"/>
    <w:rsid w:val="232F651D"/>
    <w:rsid w:val="23305BB8"/>
    <w:rsid w:val="23340EAC"/>
    <w:rsid w:val="23372F78"/>
    <w:rsid w:val="23392730"/>
    <w:rsid w:val="234C5A87"/>
    <w:rsid w:val="234E5318"/>
    <w:rsid w:val="2353344D"/>
    <w:rsid w:val="235651B5"/>
    <w:rsid w:val="23573CBF"/>
    <w:rsid w:val="23615C46"/>
    <w:rsid w:val="2369138D"/>
    <w:rsid w:val="236B2707"/>
    <w:rsid w:val="23733FB9"/>
    <w:rsid w:val="23734148"/>
    <w:rsid w:val="23736E63"/>
    <w:rsid w:val="237557B1"/>
    <w:rsid w:val="237C00A2"/>
    <w:rsid w:val="23862914"/>
    <w:rsid w:val="23871813"/>
    <w:rsid w:val="238B1303"/>
    <w:rsid w:val="239B1399"/>
    <w:rsid w:val="239B24E7"/>
    <w:rsid w:val="23A57D26"/>
    <w:rsid w:val="23AF39AC"/>
    <w:rsid w:val="23AF4196"/>
    <w:rsid w:val="23B36AF7"/>
    <w:rsid w:val="23BA09F0"/>
    <w:rsid w:val="23C16492"/>
    <w:rsid w:val="23E41830"/>
    <w:rsid w:val="23E72AEE"/>
    <w:rsid w:val="23F820B9"/>
    <w:rsid w:val="23FB11F4"/>
    <w:rsid w:val="23FC7B0B"/>
    <w:rsid w:val="24046F93"/>
    <w:rsid w:val="24084CC7"/>
    <w:rsid w:val="24174945"/>
    <w:rsid w:val="2418598E"/>
    <w:rsid w:val="24213A15"/>
    <w:rsid w:val="24267F5F"/>
    <w:rsid w:val="242A28CA"/>
    <w:rsid w:val="242D6E56"/>
    <w:rsid w:val="24371907"/>
    <w:rsid w:val="243B11EA"/>
    <w:rsid w:val="2443573A"/>
    <w:rsid w:val="24462AD6"/>
    <w:rsid w:val="244D65B8"/>
    <w:rsid w:val="2454474E"/>
    <w:rsid w:val="245B702B"/>
    <w:rsid w:val="2463166F"/>
    <w:rsid w:val="246A715D"/>
    <w:rsid w:val="246B0FE3"/>
    <w:rsid w:val="246B193A"/>
    <w:rsid w:val="246F159C"/>
    <w:rsid w:val="24853FA4"/>
    <w:rsid w:val="248D6315"/>
    <w:rsid w:val="24924917"/>
    <w:rsid w:val="24971F39"/>
    <w:rsid w:val="24975FA5"/>
    <w:rsid w:val="24A00DDE"/>
    <w:rsid w:val="24A65B74"/>
    <w:rsid w:val="24AE3AF4"/>
    <w:rsid w:val="24BB1D7A"/>
    <w:rsid w:val="24BE3146"/>
    <w:rsid w:val="24C442FF"/>
    <w:rsid w:val="24CB40FD"/>
    <w:rsid w:val="24CD0154"/>
    <w:rsid w:val="24CD4616"/>
    <w:rsid w:val="24E0567E"/>
    <w:rsid w:val="24E84F70"/>
    <w:rsid w:val="24EB3F21"/>
    <w:rsid w:val="24F31C6B"/>
    <w:rsid w:val="24F37160"/>
    <w:rsid w:val="24FA66D4"/>
    <w:rsid w:val="25101EA5"/>
    <w:rsid w:val="2513519A"/>
    <w:rsid w:val="25180974"/>
    <w:rsid w:val="251D41DD"/>
    <w:rsid w:val="2521326F"/>
    <w:rsid w:val="25256005"/>
    <w:rsid w:val="25302CEE"/>
    <w:rsid w:val="2539648A"/>
    <w:rsid w:val="253F4153"/>
    <w:rsid w:val="254649D5"/>
    <w:rsid w:val="25470655"/>
    <w:rsid w:val="25481B26"/>
    <w:rsid w:val="254A08E6"/>
    <w:rsid w:val="254B6C2B"/>
    <w:rsid w:val="254F7749"/>
    <w:rsid w:val="255C234B"/>
    <w:rsid w:val="25664B13"/>
    <w:rsid w:val="25721A03"/>
    <w:rsid w:val="25797E34"/>
    <w:rsid w:val="25882799"/>
    <w:rsid w:val="258E0C37"/>
    <w:rsid w:val="25907FA0"/>
    <w:rsid w:val="25956469"/>
    <w:rsid w:val="25A83D01"/>
    <w:rsid w:val="25A937AC"/>
    <w:rsid w:val="25B448B4"/>
    <w:rsid w:val="25B55508"/>
    <w:rsid w:val="25C24914"/>
    <w:rsid w:val="25CF7C67"/>
    <w:rsid w:val="25D31EAA"/>
    <w:rsid w:val="25E80BC5"/>
    <w:rsid w:val="2603166E"/>
    <w:rsid w:val="26094761"/>
    <w:rsid w:val="260B3A12"/>
    <w:rsid w:val="260C07A0"/>
    <w:rsid w:val="260D6F01"/>
    <w:rsid w:val="260F44A1"/>
    <w:rsid w:val="260F5EB3"/>
    <w:rsid w:val="261235E2"/>
    <w:rsid w:val="26194218"/>
    <w:rsid w:val="261A696E"/>
    <w:rsid w:val="26262370"/>
    <w:rsid w:val="262747CC"/>
    <w:rsid w:val="263874A8"/>
    <w:rsid w:val="26431044"/>
    <w:rsid w:val="264627D2"/>
    <w:rsid w:val="26476210"/>
    <w:rsid w:val="264A54EE"/>
    <w:rsid w:val="264C02D9"/>
    <w:rsid w:val="26523990"/>
    <w:rsid w:val="265601A5"/>
    <w:rsid w:val="26591839"/>
    <w:rsid w:val="26604537"/>
    <w:rsid w:val="26637B78"/>
    <w:rsid w:val="26657F18"/>
    <w:rsid w:val="266679F3"/>
    <w:rsid w:val="266A7A01"/>
    <w:rsid w:val="266D7DFB"/>
    <w:rsid w:val="26771D70"/>
    <w:rsid w:val="267733C0"/>
    <w:rsid w:val="26786E44"/>
    <w:rsid w:val="2685532F"/>
    <w:rsid w:val="269004E4"/>
    <w:rsid w:val="2694227D"/>
    <w:rsid w:val="26946721"/>
    <w:rsid w:val="269D1654"/>
    <w:rsid w:val="269E621D"/>
    <w:rsid w:val="26A36964"/>
    <w:rsid w:val="26B11081"/>
    <w:rsid w:val="26B171C6"/>
    <w:rsid w:val="26B27C82"/>
    <w:rsid w:val="26B5386C"/>
    <w:rsid w:val="26C9417E"/>
    <w:rsid w:val="26CD3471"/>
    <w:rsid w:val="26D10507"/>
    <w:rsid w:val="26DF36B4"/>
    <w:rsid w:val="26E33204"/>
    <w:rsid w:val="26E56F7C"/>
    <w:rsid w:val="26E80A2A"/>
    <w:rsid w:val="26F15921"/>
    <w:rsid w:val="26F15E38"/>
    <w:rsid w:val="26F7280B"/>
    <w:rsid w:val="26F80C0B"/>
    <w:rsid w:val="26F87BD0"/>
    <w:rsid w:val="27090EBD"/>
    <w:rsid w:val="270A136F"/>
    <w:rsid w:val="27105B59"/>
    <w:rsid w:val="271E248E"/>
    <w:rsid w:val="27244782"/>
    <w:rsid w:val="27271747"/>
    <w:rsid w:val="27284794"/>
    <w:rsid w:val="272966AB"/>
    <w:rsid w:val="272E3A95"/>
    <w:rsid w:val="27302202"/>
    <w:rsid w:val="27363F21"/>
    <w:rsid w:val="273651DE"/>
    <w:rsid w:val="274A59D6"/>
    <w:rsid w:val="274E1072"/>
    <w:rsid w:val="2751016E"/>
    <w:rsid w:val="2751475D"/>
    <w:rsid w:val="27571B7A"/>
    <w:rsid w:val="275E41C0"/>
    <w:rsid w:val="27623FD4"/>
    <w:rsid w:val="2763084F"/>
    <w:rsid w:val="2763697F"/>
    <w:rsid w:val="276E799F"/>
    <w:rsid w:val="2770324F"/>
    <w:rsid w:val="27715F31"/>
    <w:rsid w:val="27767BD4"/>
    <w:rsid w:val="27781B9E"/>
    <w:rsid w:val="278557C7"/>
    <w:rsid w:val="278D0CA6"/>
    <w:rsid w:val="27926CBF"/>
    <w:rsid w:val="279318AE"/>
    <w:rsid w:val="27A40BE5"/>
    <w:rsid w:val="27A91D58"/>
    <w:rsid w:val="27B17639"/>
    <w:rsid w:val="27B56331"/>
    <w:rsid w:val="27B60311"/>
    <w:rsid w:val="27B9069C"/>
    <w:rsid w:val="27BC49B8"/>
    <w:rsid w:val="27C03BE7"/>
    <w:rsid w:val="27C5120E"/>
    <w:rsid w:val="27DE1F9E"/>
    <w:rsid w:val="27EB2305"/>
    <w:rsid w:val="27EC0E47"/>
    <w:rsid w:val="27ED6DB7"/>
    <w:rsid w:val="27ED7E34"/>
    <w:rsid w:val="27F300C3"/>
    <w:rsid w:val="2802460C"/>
    <w:rsid w:val="280271BF"/>
    <w:rsid w:val="28041389"/>
    <w:rsid w:val="280B6C4C"/>
    <w:rsid w:val="280D26F0"/>
    <w:rsid w:val="28127AF8"/>
    <w:rsid w:val="281F7BDB"/>
    <w:rsid w:val="28231DF7"/>
    <w:rsid w:val="28291167"/>
    <w:rsid w:val="28392CC7"/>
    <w:rsid w:val="283A1310"/>
    <w:rsid w:val="283B0E67"/>
    <w:rsid w:val="283C2F4F"/>
    <w:rsid w:val="283D0478"/>
    <w:rsid w:val="284101E2"/>
    <w:rsid w:val="2841366B"/>
    <w:rsid w:val="28514A94"/>
    <w:rsid w:val="28666E5F"/>
    <w:rsid w:val="28686A51"/>
    <w:rsid w:val="286D0F52"/>
    <w:rsid w:val="28761FFA"/>
    <w:rsid w:val="287A00D4"/>
    <w:rsid w:val="287B2931"/>
    <w:rsid w:val="287B370A"/>
    <w:rsid w:val="287F1745"/>
    <w:rsid w:val="287F407B"/>
    <w:rsid w:val="2880519A"/>
    <w:rsid w:val="288D6173"/>
    <w:rsid w:val="28905503"/>
    <w:rsid w:val="28944C32"/>
    <w:rsid w:val="289A0D46"/>
    <w:rsid w:val="28A85034"/>
    <w:rsid w:val="28B10A1E"/>
    <w:rsid w:val="28B31364"/>
    <w:rsid w:val="28B874E9"/>
    <w:rsid w:val="28BC6DB7"/>
    <w:rsid w:val="28BD580B"/>
    <w:rsid w:val="28BE0DCE"/>
    <w:rsid w:val="28C241A4"/>
    <w:rsid w:val="28C72800"/>
    <w:rsid w:val="28C83C0E"/>
    <w:rsid w:val="28D125B2"/>
    <w:rsid w:val="28D73B77"/>
    <w:rsid w:val="28DA39DA"/>
    <w:rsid w:val="28DF7EA6"/>
    <w:rsid w:val="28E1036F"/>
    <w:rsid w:val="28E63BE3"/>
    <w:rsid w:val="28ED77E1"/>
    <w:rsid w:val="28EF288F"/>
    <w:rsid w:val="28F33BD2"/>
    <w:rsid w:val="28F71931"/>
    <w:rsid w:val="290215EA"/>
    <w:rsid w:val="29033730"/>
    <w:rsid w:val="290A3197"/>
    <w:rsid w:val="290A7FD4"/>
    <w:rsid w:val="291A1BEF"/>
    <w:rsid w:val="291F0CEC"/>
    <w:rsid w:val="29253660"/>
    <w:rsid w:val="292B1827"/>
    <w:rsid w:val="292C13BA"/>
    <w:rsid w:val="293119AA"/>
    <w:rsid w:val="29337FB9"/>
    <w:rsid w:val="29354730"/>
    <w:rsid w:val="293B6EBC"/>
    <w:rsid w:val="293B78C4"/>
    <w:rsid w:val="294B60F6"/>
    <w:rsid w:val="29505F49"/>
    <w:rsid w:val="29525142"/>
    <w:rsid w:val="29534DE9"/>
    <w:rsid w:val="29543F8C"/>
    <w:rsid w:val="295748B2"/>
    <w:rsid w:val="295959FF"/>
    <w:rsid w:val="295B3CC3"/>
    <w:rsid w:val="29685241"/>
    <w:rsid w:val="296C0293"/>
    <w:rsid w:val="297070CB"/>
    <w:rsid w:val="29796368"/>
    <w:rsid w:val="297A0A37"/>
    <w:rsid w:val="297B5F26"/>
    <w:rsid w:val="297E4E24"/>
    <w:rsid w:val="2987779F"/>
    <w:rsid w:val="2989643B"/>
    <w:rsid w:val="29954C8D"/>
    <w:rsid w:val="29991EBB"/>
    <w:rsid w:val="299C31FE"/>
    <w:rsid w:val="29B11398"/>
    <w:rsid w:val="29B93EFB"/>
    <w:rsid w:val="29BD7D3C"/>
    <w:rsid w:val="29CA22B6"/>
    <w:rsid w:val="29CE5DA6"/>
    <w:rsid w:val="29CF510F"/>
    <w:rsid w:val="29D24304"/>
    <w:rsid w:val="29D95579"/>
    <w:rsid w:val="29DE0C15"/>
    <w:rsid w:val="29E12E59"/>
    <w:rsid w:val="29FF65A7"/>
    <w:rsid w:val="2A0408D9"/>
    <w:rsid w:val="2A0B48B0"/>
    <w:rsid w:val="2A157B78"/>
    <w:rsid w:val="2A186542"/>
    <w:rsid w:val="2A204E11"/>
    <w:rsid w:val="2A2E434D"/>
    <w:rsid w:val="2A42728C"/>
    <w:rsid w:val="2A5175DC"/>
    <w:rsid w:val="2A53163A"/>
    <w:rsid w:val="2A571FFC"/>
    <w:rsid w:val="2A644286"/>
    <w:rsid w:val="2A6578AF"/>
    <w:rsid w:val="2A67552F"/>
    <w:rsid w:val="2A685EFA"/>
    <w:rsid w:val="2A6A2A7F"/>
    <w:rsid w:val="2A6F5D82"/>
    <w:rsid w:val="2A80126B"/>
    <w:rsid w:val="2A825502"/>
    <w:rsid w:val="2A8816A3"/>
    <w:rsid w:val="2A9102ED"/>
    <w:rsid w:val="2A940289"/>
    <w:rsid w:val="2A997A68"/>
    <w:rsid w:val="2A9F5B7F"/>
    <w:rsid w:val="2AA0748C"/>
    <w:rsid w:val="2AA1140C"/>
    <w:rsid w:val="2AA1765E"/>
    <w:rsid w:val="2AA80452"/>
    <w:rsid w:val="2AAA6513"/>
    <w:rsid w:val="2AB24C8B"/>
    <w:rsid w:val="2AB63FDB"/>
    <w:rsid w:val="2AB94EB0"/>
    <w:rsid w:val="2AC234C8"/>
    <w:rsid w:val="2AC32044"/>
    <w:rsid w:val="2AC37F0F"/>
    <w:rsid w:val="2AC76C5A"/>
    <w:rsid w:val="2ACE1AD5"/>
    <w:rsid w:val="2AD511C0"/>
    <w:rsid w:val="2ADB48B9"/>
    <w:rsid w:val="2AE62118"/>
    <w:rsid w:val="2AEA232D"/>
    <w:rsid w:val="2AEC21CE"/>
    <w:rsid w:val="2AEC6A9F"/>
    <w:rsid w:val="2AEF3FDE"/>
    <w:rsid w:val="2AFC6ADA"/>
    <w:rsid w:val="2AFD16C3"/>
    <w:rsid w:val="2AFF3CD6"/>
    <w:rsid w:val="2B0674C1"/>
    <w:rsid w:val="2B0D6AA1"/>
    <w:rsid w:val="2B104F93"/>
    <w:rsid w:val="2B1C0A93"/>
    <w:rsid w:val="2B2859F9"/>
    <w:rsid w:val="2B2E4D28"/>
    <w:rsid w:val="2B2E6D67"/>
    <w:rsid w:val="2B2F7E34"/>
    <w:rsid w:val="2B3109D9"/>
    <w:rsid w:val="2B321CD2"/>
    <w:rsid w:val="2B3541AB"/>
    <w:rsid w:val="2B367DA6"/>
    <w:rsid w:val="2B397896"/>
    <w:rsid w:val="2B502AF5"/>
    <w:rsid w:val="2B506846"/>
    <w:rsid w:val="2B51698E"/>
    <w:rsid w:val="2B54071A"/>
    <w:rsid w:val="2B60074B"/>
    <w:rsid w:val="2B6B03FE"/>
    <w:rsid w:val="2B753108"/>
    <w:rsid w:val="2B796799"/>
    <w:rsid w:val="2B7E77D7"/>
    <w:rsid w:val="2B81588D"/>
    <w:rsid w:val="2B820925"/>
    <w:rsid w:val="2B851C83"/>
    <w:rsid w:val="2B8B1F3B"/>
    <w:rsid w:val="2B91322F"/>
    <w:rsid w:val="2B9C04D9"/>
    <w:rsid w:val="2B9E6B8B"/>
    <w:rsid w:val="2B9E76FA"/>
    <w:rsid w:val="2BA026B6"/>
    <w:rsid w:val="2BA3645B"/>
    <w:rsid w:val="2BA665AA"/>
    <w:rsid w:val="2BB31E25"/>
    <w:rsid w:val="2BB61781"/>
    <w:rsid w:val="2BB864D2"/>
    <w:rsid w:val="2BBD3131"/>
    <w:rsid w:val="2BC058C2"/>
    <w:rsid w:val="2BCA1116"/>
    <w:rsid w:val="2BCC39A1"/>
    <w:rsid w:val="2BD74914"/>
    <w:rsid w:val="2BDB6BA0"/>
    <w:rsid w:val="2BDC55A8"/>
    <w:rsid w:val="2BE7758D"/>
    <w:rsid w:val="2BE91CC3"/>
    <w:rsid w:val="2BE95C2C"/>
    <w:rsid w:val="2BEA293F"/>
    <w:rsid w:val="2BEC27C5"/>
    <w:rsid w:val="2BF8505C"/>
    <w:rsid w:val="2BFF288E"/>
    <w:rsid w:val="2BFF3DE3"/>
    <w:rsid w:val="2C043A01"/>
    <w:rsid w:val="2C057779"/>
    <w:rsid w:val="2C0C01DE"/>
    <w:rsid w:val="2C0E1CB7"/>
    <w:rsid w:val="2C156282"/>
    <w:rsid w:val="2C1C18FC"/>
    <w:rsid w:val="2C1E12E2"/>
    <w:rsid w:val="2C2326BA"/>
    <w:rsid w:val="2C245E51"/>
    <w:rsid w:val="2C2517F8"/>
    <w:rsid w:val="2C2C73FB"/>
    <w:rsid w:val="2C2D5876"/>
    <w:rsid w:val="2C303D5F"/>
    <w:rsid w:val="2C33078A"/>
    <w:rsid w:val="2C370071"/>
    <w:rsid w:val="2C377F8E"/>
    <w:rsid w:val="2C3D27BE"/>
    <w:rsid w:val="2C3D6F12"/>
    <w:rsid w:val="2C3F712F"/>
    <w:rsid w:val="2C425051"/>
    <w:rsid w:val="2C431AE2"/>
    <w:rsid w:val="2C453095"/>
    <w:rsid w:val="2C4A742E"/>
    <w:rsid w:val="2C4B5F2A"/>
    <w:rsid w:val="2C56375D"/>
    <w:rsid w:val="2C5D7720"/>
    <w:rsid w:val="2C6464E2"/>
    <w:rsid w:val="2C6B4753"/>
    <w:rsid w:val="2C7E23AC"/>
    <w:rsid w:val="2C800DD2"/>
    <w:rsid w:val="2C837B5F"/>
    <w:rsid w:val="2C866B0B"/>
    <w:rsid w:val="2C98349D"/>
    <w:rsid w:val="2C9D5C03"/>
    <w:rsid w:val="2CA53E25"/>
    <w:rsid w:val="2CA63D8A"/>
    <w:rsid w:val="2CA74AFE"/>
    <w:rsid w:val="2CA81D60"/>
    <w:rsid w:val="2CA9022E"/>
    <w:rsid w:val="2CAB4F54"/>
    <w:rsid w:val="2CB214C3"/>
    <w:rsid w:val="2CB50108"/>
    <w:rsid w:val="2CB5119F"/>
    <w:rsid w:val="2CB52BBF"/>
    <w:rsid w:val="2CBB267E"/>
    <w:rsid w:val="2CC038B7"/>
    <w:rsid w:val="2CCA66DD"/>
    <w:rsid w:val="2CD2097C"/>
    <w:rsid w:val="2CD84C17"/>
    <w:rsid w:val="2CDB214E"/>
    <w:rsid w:val="2CDB3F37"/>
    <w:rsid w:val="2CE73306"/>
    <w:rsid w:val="2CEA6499"/>
    <w:rsid w:val="2CEB14B3"/>
    <w:rsid w:val="2CF0556A"/>
    <w:rsid w:val="2CF2288F"/>
    <w:rsid w:val="2CF7357C"/>
    <w:rsid w:val="2CF972DD"/>
    <w:rsid w:val="2CFF0F2E"/>
    <w:rsid w:val="2D055517"/>
    <w:rsid w:val="2D1660E1"/>
    <w:rsid w:val="2D1B54A6"/>
    <w:rsid w:val="2D3026A4"/>
    <w:rsid w:val="2D340937"/>
    <w:rsid w:val="2D3D479A"/>
    <w:rsid w:val="2D3F7503"/>
    <w:rsid w:val="2D404614"/>
    <w:rsid w:val="2D450E9F"/>
    <w:rsid w:val="2D480265"/>
    <w:rsid w:val="2D486730"/>
    <w:rsid w:val="2D55034D"/>
    <w:rsid w:val="2D5A10EF"/>
    <w:rsid w:val="2D5C51B7"/>
    <w:rsid w:val="2D67009D"/>
    <w:rsid w:val="2D684463"/>
    <w:rsid w:val="2D68478D"/>
    <w:rsid w:val="2D6C2591"/>
    <w:rsid w:val="2D7149EE"/>
    <w:rsid w:val="2D7B4196"/>
    <w:rsid w:val="2D940B48"/>
    <w:rsid w:val="2D9F5702"/>
    <w:rsid w:val="2D9F7418"/>
    <w:rsid w:val="2DAE1EF6"/>
    <w:rsid w:val="2DAF049D"/>
    <w:rsid w:val="2DB50D93"/>
    <w:rsid w:val="2DB959FF"/>
    <w:rsid w:val="2DBD0CFD"/>
    <w:rsid w:val="2DBE22D5"/>
    <w:rsid w:val="2DBF215E"/>
    <w:rsid w:val="2DC77F47"/>
    <w:rsid w:val="2DC83DAF"/>
    <w:rsid w:val="2DCD15FA"/>
    <w:rsid w:val="2DD12008"/>
    <w:rsid w:val="2DD1399B"/>
    <w:rsid w:val="2DD34422"/>
    <w:rsid w:val="2DD83CFF"/>
    <w:rsid w:val="2DDE4BB3"/>
    <w:rsid w:val="2DF64565"/>
    <w:rsid w:val="2DF65130"/>
    <w:rsid w:val="2DF83A39"/>
    <w:rsid w:val="2DFC7262"/>
    <w:rsid w:val="2E004ABD"/>
    <w:rsid w:val="2E007462"/>
    <w:rsid w:val="2E053A60"/>
    <w:rsid w:val="2E0C6998"/>
    <w:rsid w:val="2E110657"/>
    <w:rsid w:val="2E19707A"/>
    <w:rsid w:val="2E2724F0"/>
    <w:rsid w:val="2E305A84"/>
    <w:rsid w:val="2E3615D0"/>
    <w:rsid w:val="2E3C12FF"/>
    <w:rsid w:val="2E444588"/>
    <w:rsid w:val="2E4A3D12"/>
    <w:rsid w:val="2E4E7CE2"/>
    <w:rsid w:val="2E4F4E1B"/>
    <w:rsid w:val="2E5318C8"/>
    <w:rsid w:val="2E551249"/>
    <w:rsid w:val="2E5A0943"/>
    <w:rsid w:val="2E5B7596"/>
    <w:rsid w:val="2E61402F"/>
    <w:rsid w:val="2E680CC9"/>
    <w:rsid w:val="2E6B1950"/>
    <w:rsid w:val="2E6B75AD"/>
    <w:rsid w:val="2E6F2A92"/>
    <w:rsid w:val="2E777872"/>
    <w:rsid w:val="2E786928"/>
    <w:rsid w:val="2E80763F"/>
    <w:rsid w:val="2E830063"/>
    <w:rsid w:val="2E846663"/>
    <w:rsid w:val="2E864D08"/>
    <w:rsid w:val="2E8B4A54"/>
    <w:rsid w:val="2E8E16C7"/>
    <w:rsid w:val="2E94243E"/>
    <w:rsid w:val="2E9656AF"/>
    <w:rsid w:val="2E997F03"/>
    <w:rsid w:val="2EA84727"/>
    <w:rsid w:val="2EB611AB"/>
    <w:rsid w:val="2EB8499A"/>
    <w:rsid w:val="2EBA1ED8"/>
    <w:rsid w:val="2EBB7ED2"/>
    <w:rsid w:val="2ECC0EFB"/>
    <w:rsid w:val="2ED17A53"/>
    <w:rsid w:val="2ED91842"/>
    <w:rsid w:val="2EDC05D2"/>
    <w:rsid w:val="2EE875C8"/>
    <w:rsid w:val="2EEE2746"/>
    <w:rsid w:val="2EF37D5C"/>
    <w:rsid w:val="2EF83419"/>
    <w:rsid w:val="2EF9465B"/>
    <w:rsid w:val="2EFD45B1"/>
    <w:rsid w:val="2F0004EF"/>
    <w:rsid w:val="2F057A1B"/>
    <w:rsid w:val="2F0710F5"/>
    <w:rsid w:val="2F1016A1"/>
    <w:rsid w:val="2F177475"/>
    <w:rsid w:val="2F192424"/>
    <w:rsid w:val="2F234E5B"/>
    <w:rsid w:val="2F2B2123"/>
    <w:rsid w:val="2F340AA1"/>
    <w:rsid w:val="2F3B3709"/>
    <w:rsid w:val="2F452EFB"/>
    <w:rsid w:val="2F4862FA"/>
    <w:rsid w:val="2F511653"/>
    <w:rsid w:val="2F560A17"/>
    <w:rsid w:val="2F593E29"/>
    <w:rsid w:val="2F5E3447"/>
    <w:rsid w:val="2F5E6168"/>
    <w:rsid w:val="2F5E78CC"/>
    <w:rsid w:val="2F6026F7"/>
    <w:rsid w:val="2F61560E"/>
    <w:rsid w:val="2F631131"/>
    <w:rsid w:val="2F65773E"/>
    <w:rsid w:val="2F664B30"/>
    <w:rsid w:val="2F726C5C"/>
    <w:rsid w:val="2F730AAD"/>
    <w:rsid w:val="2F805A94"/>
    <w:rsid w:val="2F8453B6"/>
    <w:rsid w:val="2F8B4CA7"/>
    <w:rsid w:val="2F963495"/>
    <w:rsid w:val="2F974B8C"/>
    <w:rsid w:val="2F9B392C"/>
    <w:rsid w:val="2F9B5244"/>
    <w:rsid w:val="2F9F4F27"/>
    <w:rsid w:val="2FA76AF0"/>
    <w:rsid w:val="2FAC6889"/>
    <w:rsid w:val="2FAF0127"/>
    <w:rsid w:val="2FB01309"/>
    <w:rsid w:val="2FB13C72"/>
    <w:rsid w:val="2FBF79E6"/>
    <w:rsid w:val="2FC345F4"/>
    <w:rsid w:val="2FC419C1"/>
    <w:rsid w:val="2FCF2254"/>
    <w:rsid w:val="2FD61B58"/>
    <w:rsid w:val="2FE47731"/>
    <w:rsid w:val="2FF1727B"/>
    <w:rsid w:val="30082905"/>
    <w:rsid w:val="300C77E8"/>
    <w:rsid w:val="30127124"/>
    <w:rsid w:val="301726BA"/>
    <w:rsid w:val="30237600"/>
    <w:rsid w:val="302E0524"/>
    <w:rsid w:val="30337FA5"/>
    <w:rsid w:val="3034062C"/>
    <w:rsid w:val="303502FD"/>
    <w:rsid w:val="303B5E5F"/>
    <w:rsid w:val="30577E26"/>
    <w:rsid w:val="305E3C15"/>
    <w:rsid w:val="30662B0C"/>
    <w:rsid w:val="30662EDC"/>
    <w:rsid w:val="30680EF4"/>
    <w:rsid w:val="306F5806"/>
    <w:rsid w:val="30716059"/>
    <w:rsid w:val="307A1DB4"/>
    <w:rsid w:val="30883C47"/>
    <w:rsid w:val="30942D5F"/>
    <w:rsid w:val="30984D5A"/>
    <w:rsid w:val="30987AC8"/>
    <w:rsid w:val="309A4933"/>
    <w:rsid w:val="309C68FD"/>
    <w:rsid w:val="30A932A8"/>
    <w:rsid w:val="30AD79F5"/>
    <w:rsid w:val="30B119FF"/>
    <w:rsid w:val="30B37D64"/>
    <w:rsid w:val="30C12CF4"/>
    <w:rsid w:val="30C303EE"/>
    <w:rsid w:val="30D215E6"/>
    <w:rsid w:val="30D47051"/>
    <w:rsid w:val="30D53302"/>
    <w:rsid w:val="30FF127C"/>
    <w:rsid w:val="310318BA"/>
    <w:rsid w:val="31041E3B"/>
    <w:rsid w:val="310C55BA"/>
    <w:rsid w:val="310F089B"/>
    <w:rsid w:val="31101099"/>
    <w:rsid w:val="31127D4B"/>
    <w:rsid w:val="311439A7"/>
    <w:rsid w:val="31155975"/>
    <w:rsid w:val="3122510D"/>
    <w:rsid w:val="31227397"/>
    <w:rsid w:val="312468F3"/>
    <w:rsid w:val="3125382D"/>
    <w:rsid w:val="312A29C3"/>
    <w:rsid w:val="313054A2"/>
    <w:rsid w:val="313B5137"/>
    <w:rsid w:val="31475611"/>
    <w:rsid w:val="314B2131"/>
    <w:rsid w:val="315E0D39"/>
    <w:rsid w:val="31653193"/>
    <w:rsid w:val="316C155F"/>
    <w:rsid w:val="31770584"/>
    <w:rsid w:val="31770F75"/>
    <w:rsid w:val="31884C8A"/>
    <w:rsid w:val="318C22E9"/>
    <w:rsid w:val="318F3F3A"/>
    <w:rsid w:val="31947F60"/>
    <w:rsid w:val="31A07756"/>
    <w:rsid w:val="31A32AF8"/>
    <w:rsid w:val="31A33CBC"/>
    <w:rsid w:val="31A5213A"/>
    <w:rsid w:val="31A737AC"/>
    <w:rsid w:val="31AC6B98"/>
    <w:rsid w:val="31B76F3D"/>
    <w:rsid w:val="31BA7843"/>
    <w:rsid w:val="31C627A4"/>
    <w:rsid w:val="31E85B72"/>
    <w:rsid w:val="31F10879"/>
    <w:rsid w:val="31F87365"/>
    <w:rsid w:val="31FD5D5A"/>
    <w:rsid w:val="32003B33"/>
    <w:rsid w:val="3201377F"/>
    <w:rsid w:val="32030E1A"/>
    <w:rsid w:val="320E105D"/>
    <w:rsid w:val="3213409E"/>
    <w:rsid w:val="32141B01"/>
    <w:rsid w:val="3214544B"/>
    <w:rsid w:val="32163B01"/>
    <w:rsid w:val="321B7CF6"/>
    <w:rsid w:val="32292413"/>
    <w:rsid w:val="32415EAC"/>
    <w:rsid w:val="32564477"/>
    <w:rsid w:val="32582786"/>
    <w:rsid w:val="325A6A70"/>
    <w:rsid w:val="325E29EC"/>
    <w:rsid w:val="32642E70"/>
    <w:rsid w:val="326C3474"/>
    <w:rsid w:val="327613D0"/>
    <w:rsid w:val="328B26DF"/>
    <w:rsid w:val="328E56CE"/>
    <w:rsid w:val="32954B79"/>
    <w:rsid w:val="329B7FCB"/>
    <w:rsid w:val="32A211CE"/>
    <w:rsid w:val="32A27980"/>
    <w:rsid w:val="32A74E0A"/>
    <w:rsid w:val="32A903E5"/>
    <w:rsid w:val="32AC094E"/>
    <w:rsid w:val="32B21885"/>
    <w:rsid w:val="32BA1AF6"/>
    <w:rsid w:val="32C02CC4"/>
    <w:rsid w:val="32C84D69"/>
    <w:rsid w:val="32D348B8"/>
    <w:rsid w:val="32D36021"/>
    <w:rsid w:val="32D4576B"/>
    <w:rsid w:val="32DB4D97"/>
    <w:rsid w:val="32E616E1"/>
    <w:rsid w:val="32EB316F"/>
    <w:rsid w:val="32EB7C53"/>
    <w:rsid w:val="32EC0397"/>
    <w:rsid w:val="32FF111E"/>
    <w:rsid w:val="330259B4"/>
    <w:rsid w:val="33042538"/>
    <w:rsid w:val="330D3AE3"/>
    <w:rsid w:val="331B6062"/>
    <w:rsid w:val="3326273C"/>
    <w:rsid w:val="33264E4E"/>
    <w:rsid w:val="333723D2"/>
    <w:rsid w:val="333B1175"/>
    <w:rsid w:val="333B390A"/>
    <w:rsid w:val="333B4687"/>
    <w:rsid w:val="3341378C"/>
    <w:rsid w:val="335510FF"/>
    <w:rsid w:val="335647D3"/>
    <w:rsid w:val="335A19A6"/>
    <w:rsid w:val="335A6375"/>
    <w:rsid w:val="3363019B"/>
    <w:rsid w:val="336B1974"/>
    <w:rsid w:val="336B1C01"/>
    <w:rsid w:val="336F3E9D"/>
    <w:rsid w:val="3373051B"/>
    <w:rsid w:val="337B287A"/>
    <w:rsid w:val="337D00C3"/>
    <w:rsid w:val="3381036B"/>
    <w:rsid w:val="33820E0C"/>
    <w:rsid w:val="33822E8F"/>
    <w:rsid w:val="33846546"/>
    <w:rsid w:val="33854F2D"/>
    <w:rsid w:val="33866EEB"/>
    <w:rsid w:val="33881BFB"/>
    <w:rsid w:val="33886330"/>
    <w:rsid w:val="338D05A3"/>
    <w:rsid w:val="338E7C55"/>
    <w:rsid w:val="3392223A"/>
    <w:rsid w:val="339A2E9C"/>
    <w:rsid w:val="33B61C74"/>
    <w:rsid w:val="33B72A4E"/>
    <w:rsid w:val="33BB0B3B"/>
    <w:rsid w:val="33BB10C3"/>
    <w:rsid w:val="33BB353F"/>
    <w:rsid w:val="33C8360D"/>
    <w:rsid w:val="33CA2D90"/>
    <w:rsid w:val="33D64F76"/>
    <w:rsid w:val="33D77C4D"/>
    <w:rsid w:val="33DF3D4A"/>
    <w:rsid w:val="33E120D8"/>
    <w:rsid w:val="33E37F6D"/>
    <w:rsid w:val="33E819B6"/>
    <w:rsid w:val="33FF6811"/>
    <w:rsid w:val="34007641"/>
    <w:rsid w:val="3402116D"/>
    <w:rsid w:val="34064FC8"/>
    <w:rsid w:val="34086568"/>
    <w:rsid w:val="34111BD6"/>
    <w:rsid w:val="341E450F"/>
    <w:rsid w:val="3422021A"/>
    <w:rsid w:val="34265489"/>
    <w:rsid w:val="34270B14"/>
    <w:rsid w:val="34291FAF"/>
    <w:rsid w:val="342B4586"/>
    <w:rsid w:val="343007EC"/>
    <w:rsid w:val="34320E37"/>
    <w:rsid w:val="34321327"/>
    <w:rsid w:val="34390907"/>
    <w:rsid w:val="343B642D"/>
    <w:rsid w:val="344223A5"/>
    <w:rsid w:val="344352E2"/>
    <w:rsid w:val="344537DE"/>
    <w:rsid w:val="344572AC"/>
    <w:rsid w:val="344E43B3"/>
    <w:rsid w:val="3450603F"/>
    <w:rsid w:val="34533777"/>
    <w:rsid w:val="345510AF"/>
    <w:rsid w:val="34750E92"/>
    <w:rsid w:val="347656B7"/>
    <w:rsid w:val="347B683C"/>
    <w:rsid w:val="347C01EA"/>
    <w:rsid w:val="34840842"/>
    <w:rsid w:val="348C37B1"/>
    <w:rsid w:val="349855E0"/>
    <w:rsid w:val="349B511E"/>
    <w:rsid w:val="34A121B9"/>
    <w:rsid w:val="34A31EE1"/>
    <w:rsid w:val="34AB4D0A"/>
    <w:rsid w:val="34C81372"/>
    <w:rsid w:val="34C82F56"/>
    <w:rsid w:val="34D41D11"/>
    <w:rsid w:val="34D578B5"/>
    <w:rsid w:val="34DF763C"/>
    <w:rsid w:val="34E5182B"/>
    <w:rsid w:val="34FA0097"/>
    <w:rsid w:val="350C30E9"/>
    <w:rsid w:val="350E1F8A"/>
    <w:rsid w:val="351153E0"/>
    <w:rsid w:val="351338AA"/>
    <w:rsid w:val="351A4295"/>
    <w:rsid w:val="351C625F"/>
    <w:rsid w:val="351E4450"/>
    <w:rsid w:val="35237FEE"/>
    <w:rsid w:val="3528515D"/>
    <w:rsid w:val="352C33AD"/>
    <w:rsid w:val="352E7D40"/>
    <w:rsid w:val="35306D27"/>
    <w:rsid w:val="35354A65"/>
    <w:rsid w:val="35401B78"/>
    <w:rsid w:val="354849A1"/>
    <w:rsid w:val="354B26A0"/>
    <w:rsid w:val="35505625"/>
    <w:rsid w:val="35551771"/>
    <w:rsid w:val="35556675"/>
    <w:rsid w:val="355C5798"/>
    <w:rsid w:val="35611EC4"/>
    <w:rsid w:val="35683DD3"/>
    <w:rsid w:val="35696FCA"/>
    <w:rsid w:val="356C6F85"/>
    <w:rsid w:val="356D04A8"/>
    <w:rsid w:val="357A2F85"/>
    <w:rsid w:val="35812566"/>
    <w:rsid w:val="35866552"/>
    <w:rsid w:val="358F518D"/>
    <w:rsid w:val="359251FC"/>
    <w:rsid w:val="35A12263"/>
    <w:rsid w:val="35A37D6A"/>
    <w:rsid w:val="35B326EF"/>
    <w:rsid w:val="35B36096"/>
    <w:rsid w:val="35B67E93"/>
    <w:rsid w:val="35C92F3B"/>
    <w:rsid w:val="35CE7949"/>
    <w:rsid w:val="35D14DAE"/>
    <w:rsid w:val="35D82C40"/>
    <w:rsid w:val="35D93D99"/>
    <w:rsid w:val="35F94E24"/>
    <w:rsid w:val="36034D29"/>
    <w:rsid w:val="36051CE0"/>
    <w:rsid w:val="360D6CDA"/>
    <w:rsid w:val="361913CE"/>
    <w:rsid w:val="36195BCF"/>
    <w:rsid w:val="362178A5"/>
    <w:rsid w:val="3623361D"/>
    <w:rsid w:val="36246724"/>
    <w:rsid w:val="36266964"/>
    <w:rsid w:val="36336159"/>
    <w:rsid w:val="36361FCF"/>
    <w:rsid w:val="36392143"/>
    <w:rsid w:val="36415564"/>
    <w:rsid w:val="3654647D"/>
    <w:rsid w:val="365B5F57"/>
    <w:rsid w:val="365F4CCA"/>
    <w:rsid w:val="366179BF"/>
    <w:rsid w:val="3664038C"/>
    <w:rsid w:val="36670D69"/>
    <w:rsid w:val="366E3153"/>
    <w:rsid w:val="36726A30"/>
    <w:rsid w:val="3676199F"/>
    <w:rsid w:val="367B12BA"/>
    <w:rsid w:val="36866078"/>
    <w:rsid w:val="368706C6"/>
    <w:rsid w:val="36897924"/>
    <w:rsid w:val="368A369C"/>
    <w:rsid w:val="368F6172"/>
    <w:rsid w:val="369A19B7"/>
    <w:rsid w:val="36A416BA"/>
    <w:rsid w:val="36A96D6B"/>
    <w:rsid w:val="36B95943"/>
    <w:rsid w:val="36C02C1A"/>
    <w:rsid w:val="36D94A3C"/>
    <w:rsid w:val="36D950CE"/>
    <w:rsid w:val="36DD5490"/>
    <w:rsid w:val="36E86D10"/>
    <w:rsid w:val="36E9419C"/>
    <w:rsid w:val="36F466B7"/>
    <w:rsid w:val="36FA437E"/>
    <w:rsid w:val="36FF7BE6"/>
    <w:rsid w:val="370064F8"/>
    <w:rsid w:val="3708299A"/>
    <w:rsid w:val="371F2036"/>
    <w:rsid w:val="373366B5"/>
    <w:rsid w:val="37362382"/>
    <w:rsid w:val="373650F3"/>
    <w:rsid w:val="373C38AE"/>
    <w:rsid w:val="37457CDC"/>
    <w:rsid w:val="37505DA9"/>
    <w:rsid w:val="37521244"/>
    <w:rsid w:val="37530755"/>
    <w:rsid w:val="3768186E"/>
    <w:rsid w:val="376932B2"/>
    <w:rsid w:val="37702892"/>
    <w:rsid w:val="3772628A"/>
    <w:rsid w:val="37804E18"/>
    <w:rsid w:val="37820BC4"/>
    <w:rsid w:val="37895702"/>
    <w:rsid w:val="378B7ED3"/>
    <w:rsid w:val="378D140C"/>
    <w:rsid w:val="37934A5F"/>
    <w:rsid w:val="379540A7"/>
    <w:rsid w:val="37997290"/>
    <w:rsid w:val="379B4D7B"/>
    <w:rsid w:val="37A85DB0"/>
    <w:rsid w:val="37AF6AD4"/>
    <w:rsid w:val="37B7295A"/>
    <w:rsid w:val="37BC39AA"/>
    <w:rsid w:val="37C404E8"/>
    <w:rsid w:val="37C61624"/>
    <w:rsid w:val="37C92890"/>
    <w:rsid w:val="37CE7F86"/>
    <w:rsid w:val="37D22C05"/>
    <w:rsid w:val="37DB0C2D"/>
    <w:rsid w:val="37DD6015"/>
    <w:rsid w:val="37DD6525"/>
    <w:rsid w:val="37DF6C05"/>
    <w:rsid w:val="37E517EE"/>
    <w:rsid w:val="37ED7A3F"/>
    <w:rsid w:val="37FE6A1F"/>
    <w:rsid w:val="37FE720D"/>
    <w:rsid w:val="38003C16"/>
    <w:rsid w:val="3801798E"/>
    <w:rsid w:val="380443A3"/>
    <w:rsid w:val="380764F3"/>
    <w:rsid w:val="380D7C4E"/>
    <w:rsid w:val="381032BF"/>
    <w:rsid w:val="38162B80"/>
    <w:rsid w:val="38203F96"/>
    <w:rsid w:val="38247553"/>
    <w:rsid w:val="38307B08"/>
    <w:rsid w:val="384A6C3F"/>
    <w:rsid w:val="38553EFD"/>
    <w:rsid w:val="385940BC"/>
    <w:rsid w:val="385B239C"/>
    <w:rsid w:val="385D4F4E"/>
    <w:rsid w:val="386569CC"/>
    <w:rsid w:val="386B3753"/>
    <w:rsid w:val="386C2A10"/>
    <w:rsid w:val="386D3FF9"/>
    <w:rsid w:val="386D560E"/>
    <w:rsid w:val="38747055"/>
    <w:rsid w:val="3876689B"/>
    <w:rsid w:val="38792317"/>
    <w:rsid w:val="38792795"/>
    <w:rsid w:val="387B7E6E"/>
    <w:rsid w:val="387F7861"/>
    <w:rsid w:val="38871FB0"/>
    <w:rsid w:val="388C5A7C"/>
    <w:rsid w:val="388D1222"/>
    <w:rsid w:val="388E421E"/>
    <w:rsid w:val="38903BDF"/>
    <w:rsid w:val="389270B8"/>
    <w:rsid w:val="389E70A8"/>
    <w:rsid w:val="38A166FD"/>
    <w:rsid w:val="38B51A05"/>
    <w:rsid w:val="38B7004D"/>
    <w:rsid w:val="38BA7FA3"/>
    <w:rsid w:val="38C34C43"/>
    <w:rsid w:val="38DB1F8D"/>
    <w:rsid w:val="38E531AA"/>
    <w:rsid w:val="38E70D53"/>
    <w:rsid w:val="38E76B84"/>
    <w:rsid w:val="38EC7CF6"/>
    <w:rsid w:val="38ED3D9A"/>
    <w:rsid w:val="38EE5D2C"/>
    <w:rsid w:val="38F15417"/>
    <w:rsid w:val="390532B6"/>
    <w:rsid w:val="390A7C21"/>
    <w:rsid w:val="390E589D"/>
    <w:rsid w:val="390E71A1"/>
    <w:rsid w:val="390F1A65"/>
    <w:rsid w:val="391C2784"/>
    <w:rsid w:val="391F49D8"/>
    <w:rsid w:val="39277A4A"/>
    <w:rsid w:val="392B1354"/>
    <w:rsid w:val="392B4CC2"/>
    <w:rsid w:val="392D5503"/>
    <w:rsid w:val="392F4087"/>
    <w:rsid w:val="39324E31"/>
    <w:rsid w:val="39333B77"/>
    <w:rsid w:val="3941279E"/>
    <w:rsid w:val="39645C21"/>
    <w:rsid w:val="39671A73"/>
    <w:rsid w:val="39687294"/>
    <w:rsid w:val="39694BD4"/>
    <w:rsid w:val="396B1563"/>
    <w:rsid w:val="396C0522"/>
    <w:rsid w:val="3974255B"/>
    <w:rsid w:val="397F23F0"/>
    <w:rsid w:val="397F32B6"/>
    <w:rsid w:val="397F343E"/>
    <w:rsid w:val="39814ABD"/>
    <w:rsid w:val="398B2E91"/>
    <w:rsid w:val="398B6523"/>
    <w:rsid w:val="39917610"/>
    <w:rsid w:val="39956BD4"/>
    <w:rsid w:val="399A1E48"/>
    <w:rsid w:val="399D655C"/>
    <w:rsid w:val="39A22DCA"/>
    <w:rsid w:val="39A452A8"/>
    <w:rsid w:val="39AE31FE"/>
    <w:rsid w:val="39B5063E"/>
    <w:rsid w:val="39C87046"/>
    <w:rsid w:val="39CC31F8"/>
    <w:rsid w:val="39CD721B"/>
    <w:rsid w:val="39D93A3A"/>
    <w:rsid w:val="39E9618D"/>
    <w:rsid w:val="39EB78A9"/>
    <w:rsid w:val="39EE7A9E"/>
    <w:rsid w:val="39F325C0"/>
    <w:rsid w:val="39F753B9"/>
    <w:rsid w:val="39FA1CA8"/>
    <w:rsid w:val="39FA6F05"/>
    <w:rsid w:val="39FB09E3"/>
    <w:rsid w:val="39FB43A0"/>
    <w:rsid w:val="3A0063EA"/>
    <w:rsid w:val="3A0177D1"/>
    <w:rsid w:val="3A064DE8"/>
    <w:rsid w:val="3A0D3423"/>
    <w:rsid w:val="3A0F5131"/>
    <w:rsid w:val="3A1033DC"/>
    <w:rsid w:val="3A103EB8"/>
    <w:rsid w:val="3A1F2379"/>
    <w:rsid w:val="3A20553D"/>
    <w:rsid w:val="3A2408DC"/>
    <w:rsid w:val="3A257D55"/>
    <w:rsid w:val="3A2A4532"/>
    <w:rsid w:val="3A2B71BA"/>
    <w:rsid w:val="3A2C2EB2"/>
    <w:rsid w:val="3A2D7F0C"/>
    <w:rsid w:val="3A337BD0"/>
    <w:rsid w:val="3A3B1681"/>
    <w:rsid w:val="3A3C6A5B"/>
    <w:rsid w:val="3A4D0C68"/>
    <w:rsid w:val="3A542FED"/>
    <w:rsid w:val="3A5745D7"/>
    <w:rsid w:val="3A577D39"/>
    <w:rsid w:val="3A5F274A"/>
    <w:rsid w:val="3A647D60"/>
    <w:rsid w:val="3A6F6E31"/>
    <w:rsid w:val="3A707553"/>
    <w:rsid w:val="3A757327"/>
    <w:rsid w:val="3A7577D6"/>
    <w:rsid w:val="3A77475A"/>
    <w:rsid w:val="3A8029C8"/>
    <w:rsid w:val="3A817E9C"/>
    <w:rsid w:val="3A823457"/>
    <w:rsid w:val="3A8B5B27"/>
    <w:rsid w:val="3A8F7F81"/>
    <w:rsid w:val="3A9C74FA"/>
    <w:rsid w:val="3AA554B5"/>
    <w:rsid w:val="3AAA1C17"/>
    <w:rsid w:val="3AAB464C"/>
    <w:rsid w:val="3AAD5BAB"/>
    <w:rsid w:val="3ABA051F"/>
    <w:rsid w:val="3ABB41CE"/>
    <w:rsid w:val="3ABB6BF5"/>
    <w:rsid w:val="3ACA0DD6"/>
    <w:rsid w:val="3ACA22B9"/>
    <w:rsid w:val="3AD02470"/>
    <w:rsid w:val="3AD04CC9"/>
    <w:rsid w:val="3AD745AB"/>
    <w:rsid w:val="3AE479FA"/>
    <w:rsid w:val="3AF829F0"/>
    <w:rsid w:val="3AF8657F"/>
    <w:rsid w:val="3B03149A"/>
    <w:rsid w:val="3B042CF6"/>
    <w:rsid w:val="3B04714B"/>
    <w:rsid w:val="3B0B0979"/>
    <w:rsid w:val="3B0D4E55"/>
    <w:rsid w:val="3B160522"/>
    <w:rsid w:val="3B171B6A"/>
    <w:rsid w:val="3B1771B1"/>
    <w:rsid w:val="3B187509"/>
    <w:rsid w:val="3B216B2D"/>
    <w:rsid w:val="3B220DFB"/>
    <w:rsid w:val="3B226CAF"/>
    <w:rsid w:val="3B252273"/>
    <w:rsid w:val="3B266E3B"/>
    <w:rsid w:val="3B292DA0"/>
    <w:rsid w:val="3B2C2F74"/>
    <w:rsid w:val="3B30520F"/>
    <w:rsid w:val="3B325785"/>
    <w:rsid w:val="3B347435"/>
    <w:rsid w:val="3B47390A"/>
    <w:rsid w:val="3B4C7172"/>
    <w:rsid w:val="3B4F26A4"/>
    <w:rsid w:val="3B687615"/>
    <w:rsid w:val="3B693ABD"/>
    <w:rsid w:val="3B6E05FE"/>
    <w:rsid w:val="3B7C7C2E"/>
    <w:rsid w:val="3B7E5C85"/>
    <w:rsid w:val="3B825C8C"/>
    <w:rsid w:val="3B827693"/>
    <w:rsid w:val="3B895CD0"/>
    <w:rsid w:val="3B9D0168"/>
    <w:rsid w:val="3BA21277"/>
    <w:rsid w:val="3BA743A8"/>
    <w:rsid w:val="3BAA0942"/>
    <w:rsid w:val="3BAD3503"/>
    <w:rsid w:val="3BBC1574"/>
    <w:rsid w:val="3BBE2871"/>
    <w:rsid w:val="3BDC3E60"/>
    <w:rsid w:val="3BE06EF6"/>
    <w:rsid w:val="3BE8743D"/>
    <w:rsid w:val="3BF1602A"/>
    <w:rsid w:val="3BF96D3F"/>
    <w:rsid w:val="3C027831"/>
    <w:rsid w:val="3C0B3105"/>
    <w:rsid w:val="3C115F0C"/>
    <w:rsid w:val="3C1173CA"/>
    <w:rsid w:val="3C140936"/>
    <w:rsid w:val="3C1C55FB"/>
    <w:rsid w:val="3C1F1A40"/>
    <w:rsid w:val="3C1F6635"/>
    <w:rsid w:val="3C232178"/>
    <w:rsid w:val="3C29300F"/>
    <w:rsid w:val="3C2F4ACA"/>
    <w:rsid w:val="3C456DC6"/>
    <w:rsid w:val="3C4E49C4"/>
    <w:rsid w:val="3C4E7278"/>
    <w:rsid w:val="3C5F3EE7"/>
    <w:rsid w:val="3C6831AF"/>
    <w:rsid w:val="3C687176"/>
    <w:rsid w:val="3C6E1EFD"/>
    <w:rsid w:val="3C88242C"/>
    <w:rsid w:val="3C8C590F"/>
    <w:rsid w:val="3C925059"/>
    <w:rsid w:val="3CA142FB"/>
    <w:rsid w:val="3CA328BF"/>
    <w:rsid w:val="3CAC47B1"/>
    <w:rsid w:val="3CAE6449"/>
    <w:rsid w:val="3CAF1767"/>
    <w:rsid w:val="3CB33F74"/>
    <w:rsid w:val="3CB81C88"/>
    <w:rsid w:val="3CB90837"/>
    <w:rsid w:val="3CC012F0"/>
    <w:rsid w:val="3CC52D38"/>
    <w:rsid w:val="3CC61E86"/>
    <w:rsid w:val="3CCD09E3"/>
    <w:rsid w:val="3CD70C3E"/>
    <w:rsid w:val="3CD82898"/>
    <w:rsid w:val="3CD90A50"/>
    <w:rsid w:val="3CDF2C5B"/>
    <w:rsid w:val="3CE01A84"/>
    <w:rsid w:val="3CE36ABF"/>
    <w:rsid w:val="3CE57C1B"/>
    <w:rsid w:val="3CED06AF"/>
    <w:rsid w:val="3CEF1B2B"/>
    <w:rsid w:val="3CF67395"/>
    <w:rsid w:val="3CF91469"/>
    <w:rsid w:val="3CFB0E50"/>
    <w:rsid w:val="3CFE624A"/>
    <w:rsid w:val="3D0529C8"/>
    <w:rsid w:val="3D0C4963"/>
    <w:rsid w:val="3D167A38"/>
    <w:rsid w:val="3D21715A"/>
    <w:rsid w:val="3D234EC9"/>
    <w:rsid w:val="3D344DFB"/>
    <w:rsid w:val="3D354E94"/>
    <w:rsid w:val="3D3609DA"/>
    <w:rsid w:val="3D460B69"/>
    <w:rsid w:val="3D470E79"/>
    <w:rsid w:val="3D4A73C0"/>
    <w:rsid w:val="3D4F2F4A"/>
    <w:rsid w:val="3D4F36BE"/>
    <w:rsid w:val="3D534271"/>
    <w:rsid w:val="3D574438"/>
    <w:rsid w:val="3D5B30AE"/>
    <w:rsid w:val="3D5B699A"/>
    <w:rsid w:val="3D736D17"/>
    <w:rsid w:val="3D7647EB"/>
    <w:rsid w:val="3D766349"/>
    <w:rsid w:val="3D79109C"/>
    <w:rsid w:val="3D7A6218"/>
    <w:rsid w:val="3D816EEE"/>
    <w:rsid w:val="3D831898"/>
    <w:rsid w:val="3D8A5D30"/>
    <w:rsid w:val="3D8C2745"/>
    <w:rsid w:val="3D957A48"/>
    <w:rsid w:val="3D980F05"/>
    <w:rsid w:val="3D9A2E62"/>
    <w:rsid w:val="3D9E1C28"/>
    <w:rsid w:val="3D9F5C7F"/>
    <w:rsid w:val="3DA54918"/>
    <w:rsid w:val="3DAC214A"/>
    <w:rsid w:val="3DB9014E"/>
    <w:rsid w:val="3DC5590A"/>
    <w:rsid w:val="3DC73173"/>
    <w:rsid w:val="3DD37A2B"/>
    <w:rsid w:val="3DDA7718"/>
    <w:rsid w:val="3DE26767"/>
    <w:rsid w:val="3DE27E0D"/>
    <w:rsid w:val="3DE372C4"/>
    <w:rsid w:val="3E096A09"/>
    <w:rsid w:val="3E0B27EF"/>
    <w:rsid w:val="3E17695C"/>
    <w:rsid w:val="3E210EF2"/>
    <w:rsid w:val="3E2359A1"/>
    <w:rsid w:val="3E2E7003"/>
    <w:rsid w:val="3E300827"/>
    <w:rsid w:val="3E3379DA"/>
    <w:rsid w:val="3E483FA7"/>
    <w:rsid w:val="3E512ECC"/>
    <w:rsid w:val="3E546690"/>
    <w:rsid w:val="3E573E64"/>
    <w:rsid w:val="3E5C565B"/>
    <w:rsid w:val="3E602E00"/>
    <w:rsid w:val="3E61035E"/>
    <w:rsid w:val="3E683E9F"/>
    <w:rsid w:val="3E6E11AD"/>
    <w:rsid w:val="3E6F38A3"/>
    <w:rsid w:val="3E73215F"/>
    <w:rsid w:val="3E7D67BB"/>
    <w:rsid w:val="3E7E25F5"/>
    <w:rsid w:val="3E8E42DF"/>
    <w:rsid w:val="3E8F2A4A"/>
    <w:rsid w:val="3E8F30AF"/>
    <w:rsid w:val="3E952A71"/>
    <w:rsid w:val="3E955DF4"/>
    <w:rsid w:val="3E9E773C"/>
    <w:rsid w:val="3EA116A9"/>
    <w:rsid w:val="3EAB44AC"/>
    <w:rsid w:val="3EAD0729"/>
    <w:rsid w:val="3EB230B5"/>
    <w:rsid w:val="3EB516C8"/>
    <w:rsid w:val="3EBA13BC"/>
    <w:rsid w:val="3EBB32F2"/>
    <w:rsid w:val="3EC139D3"/>
    <w:rsid w:val="3EC91B33"/>
    <w:rsid w:val="3ECC15B6"/>
    <w:rsid w:val="3ED177A1"/>
    <w:rsid w:val="3EDC5159"/>
    <w:rsid w:val="3EE4374F"/>
    <w:rsid w:val="3EE45DA6"/>
    <w:rsid w:val="3EEB2B11"/>
    <w:rsid w:val="3EF524D1"/>
    <w:rsid w:val="3EFF1741"/>
    <w:rsid w:val="3F077801"/>
    <w:rsid w:val="3F0A0141"/>
    <w:rsid w:val="3F0C1D8A"/>
    <w:rsid w:val="3F0D4E6A"/>
    <w:rsid w:val="3F116634"/>
    <w:rsid w:val="3F1213E7"/>
    <w:rsid w:val="3F17040E"/>
    <w:rsid w:val="3F1916D9"/>
    <w:rsid w:val="3F1D39BD"/>
    <w:rsid w:val="3F1F712B"/>
    <w:rsid w:val="3F21524D"/>
    <w:rsid w:val="3F234D70"/>
    <w:rsid w:val="3F2849A0"/>
    <w:rsid w:val="3F2955F9"/>
    <w:rsid w:val="3F406FEE"/>
    <w:rsid w:val="3F422D66"/>
    <w:rsid w:val="3F472589"/>
    <w:rsid w:val="3F473ED8"/>
    <w:rsid w:val="3F4B32F3"/>
    <w:rsid w:val="3F4C7320"/>
    <w:rsid w:val="3F511C91"/>
    <w:rsid w:val="3F516B05"/>
    <w:rsid w:val="3F601758"/>
    <w:rsid w:val="3F632CDC"/>
    <w:rsid w:val="3F651BF5"/>
    <w:rsid w:val="3F676436"/>
    <w:rsid w:val="3F780536"/>
    <w:rsid w:val="3F801AB9"/>
    <w:rsid w:val="3F8E7D59"/>
    <w:rsid w:val="3F8F2838"/>
    <w:rsid w:val="3F9A225B"/>
    <w:rsid w:val="3F9A4950"/>
    <w:rsid w:val="3FA16A5D"/>
    <w:rsid w:val="3FA939A5"/>
    <w:rsid w:val="3FAF1A7E"/>
    <w:rsid w:val="3FC337AF"/>
    <w:rsid w:val="3FC62E02"/>
    <w:rsid w:val="3FC77475"/>
    <w:rsid w:val="3FCB1914"/>
    <w:rsid w:val="3FCB6581"/>
    <w:rsid w:val="3FD12DD3"/>
    <w:rsid w:val="3FE33D73"/>
    <w:rsid w:val="3FE727C0"/>
    <w:rsid w:val="3FF868D6"/>
    <w:rsid w:val="3FF94B5D"/>
    <w:rsid w:val="3FFC1EDD"/>
    <w:rsid w:val="3FFE25A0"/>
    <w:rsid w:val="40011047"/>
    <w:rsid w:val="400935D9"/>
    <w:rsid w:val="400B13AA"/>
    <w:rsid w:val="401046D0"/>
    <w:rsid w:val="401A3A8E"/>
    <w:rsid w:val="401C6CEA"/>
    <w:rsid w:val="401D30B2"/>
    <w:rsid w:val="401D732F"/>
    <w:rsid w:val="40211DD6"/>
    <w:rsid w:val="40214607"/>
    <w:rsid w:val="4023168B"/>
    <w:rsid w:val="40334A36"/>
    <w:rsid w:val="403501D5"/>
    <w:rsid w:val="403925D3"/>
    <w:rsid w:val="40440330"/>
    <w:rsid w:val="404D3DAF"/>
    <w:rsid w:val="404F1C47"/>
    <w:rsid w:val="40550877"/>
    <w:rsid w:val="407D165E"/>
    <w:rsid w:val="40835C60"/>
    <w:rsid w:val="40850597"/>
    <w:rsid w:val="40860136"/>
    <w:rsid w:val="4086756D"/>
    <w:rsid w:val="408F1FDB"/>
    <w:rsid w:val="409942D4"/>
    <w:rsid w:val="40A11A4E"/>
    <w:rsid w:val="40A20D8B"/>
    <w:rsid w:val="40AB493B"/>
    <w:rsid w:val="40B159AD"/>
    <w:rsid w:val="40B15C63"/>
    <w:rsid w:val="40B21825"/>
    <w:rsid w:val="40B76E3C"/>
    <w:rsid w:val="40BA15FC"/>
    <w:rsid w:val="40C021FF"/>
    <w:rsid w:val="40C31C84"/>
    <w:rsid w:val="40C50BE1"/>
    <w:rsid w:val="40C83C56"/>
    <w:rsid w:val="40CB7806"/>
    <w:rsid w:val="40D442ED"/>
    <w:rsid w:val="40D63643"/>
    <w:rsid w:val="40DE6ABE"/>
    <w:rsid w:val="40DE7FD5"/>
    <w:rsid w:val="40DF5380"/>
    <w:rsid w:val="40E579FE"/>
    <w:rsid w:val="40F005A0"/>
    <w:rsid w:val="40F850CF"/>
    <w:rsid w:val="40FF1CDE"/>
    <w:rsid w:val="41033C84"/>
    <w:rsid w:val="410A281A"/>
    <w:rsid w:val="410E3332"/>
    <w:rsid w:val="410F05C3"/>
    <w:rsid w:val="41120516"/>
    <w:rsid w:val="41284120"/>
    <w:rsid w:val="412C6EE2"/>
    <w:rsid w:val="412F731A"/>
    <w:rsid w:val="413779E6"/>
    <w:rsid w:val="41422FF4"/>
    <w:rsid w:val="41477445"/>
    <w:rsid w:val="41494FD0"/>
    <w:rsid w:val="4151111D"/>
    <w:rsid w:val="415A25D3"/>
    <w:rsid w:val="415D5F66"/>
    <w:rsid w:val="41601281"/>
    <w:rsid w:val="41611B01"/>
    <w:rsid w:val="416124AE"/>
    <w:rsid w:val="4164241D"/>
    <w:rsid w:val="4165522A"/>
    <w:rsid w:val="416D0AF1"/>
    <w:rsid w:val="416E5536"/>
    <w:rsid w:val="416F6383"/>
    <w:rsid w:val="416F6F51"/>
    <w:rsid w:val="41776DD7"/>
    <w:rsid w:val="4179728D"/>
    <w:rsid w:val="417B430D"/>
    <w:rsid w:val="41806DC5"/>
    <w:rsid w:val="418C2076"/>
    <w:rsid w:val="41920CE6"/>
    <w:rsid w:val="41935BBF"/>
    <w:rsid w:val="41937034"/>
    <w:rsid w:val="41A45EBB"/>
    <w:rsid w:val="41A47298"/>
    <w:rsid w:val="41AF045B"/>
    <w:rsid w:val="41B75F72"/>
    <w:rsid w:val="41B91085"/>
    <w:rsid w:val="41B97C68"/>
    <w:rsid w:val="41BB6E00"/>
    <w:rsid w:val="41BF1F0C"/>
    <w:rsid w:val="41C13319"/>
    <w:rsid w:val="41C2018E"/>
    <w:rsid w:val="41C77124"/>
    <w:rsid w:val="41C91360"/>
    <w:rsid w:val="41D52B3B"/>
    <w:rsid w:val="41ED139C"/>
    <w:rsid w:val="41FA5E99"/>
    <w:rsid w:val="41FC01AE"/>
    <w:rsid w:val="42001779"/>
    <w:rsid w:val="4202058A"/>
    <w:rsid w:val="42040C7E"/>
    <w:rsid w:val="42041716"/>
    <w:rsid w:val="42087116"/>
    <w:rsid w:val="420906AE"/>
    <w:rsid w:val="420C7F4F"/>
    <w:rsid w:val="420F2036"/>
    <w:rsid w:val="42166B6D"/>
    <w:rsid w:val="421D7172"/>
    <w:rsid w:val="42212353"/>
    <w:rsid w:val="42365F67"/>
    <w:rsid w:val="423877B6"/>
    <w:rsid w:val="423D5A66"/>
    <w:rsid w:val="423E26A8"/>
    <w:rsid w:val="4250579A"/>
    <w:rsid w:val="42594B6B"/>
    <w:rsid w:val="42596E93"/>
    <w:rsid w:val="426923B8"/>
    <w:rsid w:val="427E2307"/>
    <w:rsid w:val="428504E8"/>
    <w:rsid w:val="428574E9"/>
    <w:rsid w:val="42884B3C"/>
    <w:rsid w:val="428E3EB8"/>
    <w:rsid w:val="428F3CCC"/>
    <w:rsid w:val="42913E36"/>
    <w:rsid w:val="42941198"/>
    <w:rsid w:val="42974E4E"/>
    <w:rsid w:val="42984A4B"/>
    <w:rsid w:val="429D3470"/>
    <w:rsid w:val="429F227D"/>
    <w:rsid w:val="42DC0A1E"/>
    <w:rsid w:val="42DE2DA6"/>
    <w:rsid w:val="42E51AFA"/>
    <w:rsid w:val="42E67EAC"/>
    <w:rsid w:val="42EF15D8"/>
    <w:rsid w:val="42F13246"/>
    <w:rsid w:val="42F6570D"/>
    <w:rsid w:val="4304414C"/>
    <w:rsid w:val="4308316F"/>
    <w:rsid w:val="430C33A3"/>
    <w:rsid w:val="431232E1"/>
    <w:rsid w:val="431D7178"/>
    <w:rsid w:val="431E335C"/>
    <w:rsid w:val="431F7EB8"/>
    <w:rsid w:val="43226BB2"/>
    <w:rsid w:val="432615E2"/>
    <w:rsid w:val="43302ED5"/>
    <w:rsid w:val="43316FB9"/>
    <w:rsid w:val="433775A4"/>
    <w:rsid w:val="433A1F51"/>
    <w:rsid w:val="433A3D54"/>
    <w:rsid w:val="434702A1"/>
    <w:rsid w:val="43477CBD"/>
    <w:rsid w:val="434D74D2"/>
    <w:rsid w:val="43615B69"/>
    <w:rsid w:val="43635059"/>
    <w:rsid w:val="436B4004"/>
    <w:rsid w:val="436B44E9"/>
    <w:rsid w:val="436E579D"/>
    <w:rsid w:val="43713BB4"/>
    <w:rsid w:val="437D2BA2"/>
    <w:rsid w:val="437D5AB6"/>
    <w:rsid w:val="43813ED2"/>
    <w:rsid w:val="43865BB0"/>
    <w:rsid w:val="43871EAD"/>
    <w:rsid w:val="4389644E"/>
    <w:rsid w:val="438D5BCB"/>
    <w:rsid w:val="43961000"/>
    <w:rsid w:val="439E3D35"/>
    <w:rsid w:val="439E4FAE"/>
    <w:rsid w:val="43A204F1"/>
    <w:rsid w:val="43A85162"/>
    <w:rsid w:val="43AA0EDA"/>
    <w:rsid w:val="43AB614F"/>
    <w:rsid w:val="43B720F9"/>
    <w:rsid w:val="43C55D14"/>
    <w:rsid w:val="43CD02D3"/>
    <w:rsid w:val="43CE006F"/>
    <w:rsid w:val="43CF3F4E"/>
    <w:rsid w:val="43D1779B"/>
    <w:rsid w:val="43D77A74"/>
    <w:rsid w:val="43D83C99"/>
    <w:rsid w:val="43DD61B7"/>
    <w:rsid w:val="43E239B8"/>
    <w:rsid w:val="43E41665"/>
    <w:rsid w:val="43E97A8D"/>
    <w:rsid w:val="43EB5A87"/>
    <w:rsid w:val="43ED048A"/>
    <w:rsid w:val="43EF7E5F"/>
    <w:rsid w:val="440B508A"/>
    <w:rsid w:val="440E6270"/>
    <w:rsid w:val="441D3A5A"/>
    <w:rsid w:val="441D72BA"/>
    <w:rsid w:val="442112C8"/>
    <w:rsid w:val="44252536"/>
    <w:rsid w:val="44254A04"/>
    <w:rsid w:val="442907FE"/>
    <w:rsid w:val="44291587"/>
    <w:rsid w:val="442C0346"/>
    <w:rsid w:val="442E2159"/>
    <w:rsid w:val="442F13DF"/>
    <w:rsid w:val="443F7874"/>
    <w:rsid w:val="444255B6"/>
    <w:rsid w:val="44474310"/>
    <w:rsid w:val="44475773"/>
    <w:rsid w:val="444C4B45"/>
    <w:rsid w:val="4453035E"/>
    <w:rsid w:val="445839A9"/>
    <w:rsid w:val="445A304C"/>
    <w:rsid w:val="445F1563"/>
    <w:rsid w:val="445F7D3C"/>
    <w:rsid w:val="44645260"/>
    <w:rsid w:val="44773FA5"/>
    <w:rsid w:val="44877FD6"/>
    <w:rsid w:val="44883154"/>
    <w:rsid w:val="44890281"/>
    <w:rsid w:val="448B4867"/>
    <w:rsid w:val="448E0E5D"/>
    <w:rsid w:val="4491103A"/>
    <w:rsid w:val="44960E78"/>
    <w:rsid w:val="44A71D6C"/>
    <w:rsid w:val="44AD7626"/>
    <w:rsid w:val="44C8504C"/>
    <w:rsid w:val="44CA74FA"/>
    <w:rsid w:val="44CE539C"/>
    <w:rsid w:val="44ED7EB5"/>
    <w:rsid w:val="44FE14DD"/>
    <w:rsid w:val="44FE2875"/>
    <w:rsid w:val="4502348E"/>
    <w:rsid w:val="45036E77"/>
    <w:rsid w:val="4508075A"/>
    <w:rsid w:val="450E448B"/>
    <w:rsid w:val="450E5498"/>
    <w:rsid w:val="45107B7B"/>
    <w:rsid w:val="45152D17"/>
    <w:rsid w:val="45244625"/>
    <w:rsid w:val="45311F33"/>
    <w:rsid w:val="453A628D"/>
    <w:rsid w:val="45432046"/>
    <w:rsid w:val="454527CC"/>
    <w:rsid w:val="4550160D"/>
    <w:rsid w:val="4553584C"/>
    <w:rsid w:val="455D24D8"/>
    <w:rsid w:val="45603F46"/>
    <w:rsid w:val="456450B8"/>
    <w:rsid w:val="45660E30"/>
    <w:rsid w:val="45676436"/>
    <w:rsid w:val="456A44B4"/>
    <w:rsid w:val="456D21BF"/>
    <w:rsid w:val="457906F6"/>
    <w:rsid w:val="457A0771"/>
    <w:rsid w:val="457C3346"/>
    <w:rsid w:val="45814EDF"/>
    <w:rsid w:val="45817712"/>
    <w:rsid w:val="458E39AA"/>
    <w:rsid w:val="45923948"/>
    <w:rsid w:val="459957F6"/>
    <w:rsid w:val="45B334AC"/>
    <w:rsid w:val="45B85FF2"/>
    <w:rsid w:val="45CA5863"/>
    <w:rsid w:val="45D3296A"/>
    <w:rsid w:val="45E306D3"/>
    <w:rsid w:val="45E5268B"/>
    <w:rsid w:val="45E96220"/>
    <w:rsid w:val="45EA2DE6"/>
    <w:rsid w:val="45EA6C03"/>
    <w:rsid w:val="45EE1552"/>
    <w:rsid w:val="45F743A7"/>
    <w:rsid w:val="45F92F7B"/>
    <w:rsid w:val="460A3B3C"/>
    <w:rsid w:val="460D654E"/>
    <w:rsid w:val="461B5FBC"/>
    <w:rsid w:val="461B7E6D"/>
    <w:rsid w:val="461F2B3F"/>
    <w:rsid w:val="462555ED"/>
    <w:rsid w:val="46385C67"/>
    <w:rsid w:val="4638602C"/>
    <w:rsid w:val="463A1C0A"/>
    <w:rsid w:val="463D4287"/>
    <w:rsid w:val="464326EB"/>
    <w:rsid w:val="464642E2"/>
    <w:rsid w:val="465D7FE7"/>
    <w:rsid w:val="46622C57"/>
    <w:rsid w:val="46667161"/>
    <w:rsid w:val="467209B1"/>
    <w:rsid w:val="46834537"/>
    <w:rsid w:val="468A0B4E"/>
    <w:rsid w:val="468A69FB"/>
    <w:rsid w:val="469320F9"/>
    <w:rsid w:val="469D2FA9"/>
    <w:rsid w:val="46A91E7C"/>
    <w:rsid w:val="46B04360"/>
    <w:rsid w:val="46B95A97"/>
    <w:rsid w:val="46BA1434"/>
    <w:rsid w:val="46BA7686"/>
    <w:rsid w:val="46C329DE"/>
    <w:rsid w:val="46C5239A"/>
    <w:rsid w:val="46C80F77"/>
    <w:rsid w:val="46C83505"/>
    <w:rsid w:val="46E75FA1"/>
    <w:rsid w:val="46EE10DD"/>
    <w:rsid w:val="46F93178"/>
    <w:rsid w:val="47004094"/>
    <w:rsid w:val="470B7EE1"/>
    <w:rsid w:val="470D6234"/>
    <w:rsid w:val="470F3FF5"/>
    <w:rsid w:val="471203DE"/>
    <w:rsid w:val="471533E2"/>
    <w:rsid w:val="47173339"/>
    <w:rsid w:val="472B6588"/>
    <w:rsid w:val="47300E89"/>
    <w:rsid w:val="47360BCB"/>
    <w:rsid w:val="47392CA0"/>
    <w:rsid w:val="473B687D"/>
    <w:rsid w:val="473E5A3E"/>
    <w:rsid w:val="47486F88"/>
    <w:rsid w:val="474B4782"/>
    <w:rsid w:val="474C2068"/>
    <w:rsid w:val="474E6544"/>
    <w:rsid w:val="4751097A"/>
    <w:rsid w:val="475118B0"/>
    <w:rsid w:val="475353E4"/>
    <w:rsid w:val="4755115C"/>
    <w:rsid w:val="47570295"/>
    <w:rsid w:val="47571378"/>
    <w:rsid w:val="475D00C0"/>
    <w:rsid w:val="47643963"/>
    <w:rsid w:val="47694C08"/>
    <w:rsid w:val="477B25A8"/>
    <w:rsid w:val="477D250E"/>
    <w:rsid w:val="478F5677"/>
    <w:rsid w:val="47A11768"/>
    <w:rsid w:val="47A404FC"/>
    <w:rsid w:val="47AA5FEC"/>
    <w:rsid w:val="47B04144"/>
    <w:rsid w:val="47B10A89"/>
    <w:rsid w:val="47B2531A"/>
    <w:rsid w:val="47B4324B"/>
    <w:rsid w:val="47B452C3"/>
    <w:rsid w:val="47B84CC2"/>
    <w:rsid w:val="47BA3F5D"/>
    <w:rsid w:val="47BC567F"/>
    <w:rsid w:val="47C47C98"/>
    <w:rsid w:val="47C702AC"/>
    <w:rsid w:val="47C82C32"/>
    <w:rsid w:val="47CC2624"/>
    <w:rsid w:val="47CD7591"/>
    <w:rsid w:val="47D209FF"/>
    <w:rsid w:val="47D40183"/>
    <w:rsid w:val="47E9213C"/>
    <w:rsid w:val="47EE31B5"/>
    <w:rsid w:val="48013092"/>
    <w:rsid w:val="48042051"/>
    <w:rsid w:val="48126DF4"/>
    <w:rsid w:val="481450FD"/>
    <w:rsid w:val="481B05F8"/>
    <w:rsid w:val="481C67F4"/>
    <w:rsid w:val="48205161"/>
    <w:rsid w:val="48222F2B"/>
    <w:rsid w:val="483838D5"/>
    <w:rsid w:val="48394ACD"/>
    <w:rsid w:val="483D55F9"/>
    <w:rsid w:val="483F31D0"/>
    <w:rsid w:val="485A01FF"/>
    <w:rsid w:val="485E75D7"/>
    <w:rsid w:val="48651873"/>
    <w:rsid w:val="487A6615"/>
    <w:rsid w:val="487E1FE4"/>
    <w:rsid w:val="488D1088"/>
    <w:rsid w:val="48A405ED"/>
    <w:rsid w:val="48AA3768"/>
    <w:rsid w:val="48B0472D"/>
    <w:rsid w:val="48B336D4"/>
    <w:rsid w:val="48C94E82"/>
    <w:rsid w:val="48CE11C6"/>
    <w:rsid w:val="48CE3770"/>
    <w:rsid w:val="48D40547"/>
    <w:rsid w:val="48D414A6"/>
    <w:rsid w:val="48DA47B7"/>
    <w:rsid w:val="48E215A5"/>
    <w:rsid w:val="48EE3B39"/>
    <w:rsid w:val="48EF6479"/>
    <w:rsid w:val="48F9312C"/>
    <w:rsid w:val="490A27E0"/>
    <w:rsid w:val="490B656B"/>
    <w:rsid w:val="490C7926"/>
    <w:rsid w:val="490E6720"/>
    <w:rsid w:val="4914771E"/>
    <w:rsid w:val="49246C51"/>
    <w:rsid w:val="49247D23"/>
    <w:rsid w:val="492B1E3B"/>
    <w:rsid w:val="492D05E3"/>
    <w:rsid w:val="493B7331"/>
    <w:rsid w:val="493E459E"/>
    <w:rsid w:val="49490647"/>
    <w:rsid w:val="4952349B"/>
    <w:rsid w:val="49552B15"/>
    <w:rsid w:val="49560512"/>
    <w:rsid w:val="4956363C"/>
    <w:rsid w:val="495F500E"/>
    <w:rsid w:val="49606FCD"/>
    <w:rsid w:val="49623CFA"/>
    <w:rsid w:val="497B7551"/>
    <w:rsid w:val="49840C30"/>
    <w:rsid w:val="49926064"/>
    <w:rsid w:val="499C7E22"/>
    <w:rsid w:val="49A10689"/>
    <w:rsid w:val="49A37AF1"/>
    <w:rsid w:val="49A5605A"/>
    <w:rsid w:val="49A95790"/>
    <w:rsid w:val="49AC63B3"/>
    <w:rsid w:val="49B827A1"/>
    <w:rsid w:val="49BC3061"/>
    <w:rsid w:val="49BE033F"/>
    <w:rsid w:val="49C7765F"/>
    <w:rsid w:val="49C9142B"/>
    <w:rsid w:val="49DC369E"/>
    <w:rsid w:val="49DE38C0"/>
    <w:rsid w:val="49DF37A9"/>
    <w:rsid w:val="49E46471"/>
    <w:rsid w:val="49EB2FD5"/>
    <w:rsid w:val="49EC520C"/>
    <w:rsid w:val="49F208D1"/>
    <w:rsid w:val="49FB0B09"/>
    <w:rsid w:val="4A0220E3"/>
    <w:rsid w:val="4A025909"/>
    <w:rsid w:val="4A24518F"/>
    <w:rsid w:val="4A2A570B"/>
    <w:rsid w:val="4A2E5AD6"/>
    <w:rsid w:val="4A365275"/>
    <w:rsid w:val="4A3E16BC"/>
    <w:rsid w:val="4A3E412A"/>
    <w:rsid w:val="4A4B75CA"/>
    <w:rsid w:val="4A4D079B"/>
    <w:rsid w:val="4A5A0F5D"/>
    <w:rsid w:val="4A622603"/>
    <w:rsid w:val="4A71733E"/>
    <w:rsid w:val="4A725461"/>
    <w:rsid w:val="4A77134B"/>
    <w:rsid w:val="4A792466"/>
    <w:rsid w:val="4A7B35D0"/>
    <w:rsid w:val="4A812A08"/>
    <w:rsid w:val="4A823E8F"/>
    <w:rsid w:val="4A8C3410"/>
    <w:rsid w:val="4A965D14"/>
    <w:rsid w:val="4A965E53"/>
    <w:rsid w:val="4A967E4A"/>
    <w:rsid w:val="4AA246B9"/>
    <w:rsid w:val="4AB330CE"/>
    <w:rsid w:val="4AB40799"/>
    <w:rsid w:val="4AC41575"/>
    <w:rsid w:val="4AD16E4F"/>
    <w:rsid w:val="4AF90B0E"/>
    <w:rsid w:val="4AFA2028"/>
    <w:rsid w:val="4AFB2712"/>
    <w:rsid w:val="4AFD1A31"/>
    <w:rsid w:val="4B021510"/>
    <w:rsid w:val="4B0657E6"/>
    <w:rsid w:val="4B067938"/>
    <w:rsid w:val="4B0B5F77"/>
    <w:rsid w:val="4B132F2B"/>
    <w:rsid w:val="4B221C9D"/>
    <w:rsid w:val="4B2416F0"/>
    <w:rsid w:val="4B7342A7"/>
    <w:rsid w:val="4B736055"/>
    <w:rsid w:val="4B7613E0"/>
    <w:rsid w:val="4B8F2264"/>
    <w:rsid w:val="4BAB279A"/>
    <w:rsid w:val="4BC81760"/>
    <w:rsid w:val="4BCB26E0"/>
    <w:rsid w:val="4BDA76CA"/>
    <w:rsid w:val="4BE1486E"/>
    <w:rsid w:val="4BE62CCB"/>
    <w:rsid w:val="4BEC67F7"/>
    <w:rsid w:val="4BEE7C5F"/>
    <w:rsid w:val="4BF278C2"/>
    <w:rsid w:val="4BF74ED8"/>
    <w:rsid w:val="4BFC46B4"/>
    <w:rsid w:val="4C023CE3"/>
    <w:rsid w:val="4C0655C5"/>
    <w:rsid w:val="4C0E6921"/>
    <w:rsid w:val="4C1C3FD7"/>
    <w:rsid w:val="4C2658B1"/>
    <w:rsid w:val="4C2B4709"/>
    <w:rsid w:val="4C3042B4"/>
    <w:rsid w:val="4C365898"/>
    <w:rsid w:val="4C3B3017"/>
    <w:rsid w:val="4C421F38"/>
    <w:rsid w:val="4C477BA1"/>
    <w:rsid w:val="4C4C6FD2"/>
    <w:rsid w:val="4C4D68A6"/>
    <w:rsid w:val="4C521F23"/>
    <w:rsid w:val="4C5922EA"/>
    <w:rsid w:val="4C5C4DE2"/>
    <w:rsid w:val="4C5E4F57"/>
    <w:rsid w:val="4C6E1048"/>
    <w:rsid w:val="4C72630D"/>
    <w:rsid w:val="4C7D53DD"/>
    <w:rsid w:val="4C7D7F89"/>
    <w:rsid w:val="4C826688"/>
    <w:rsid w:val="4C95205F"/>
    <w:rsid w:val="4C994102"/>
    <w:rsid w:val="4C9A4222"/>
    <w:rsid w:val="4C9C5405"/>
    <w:rsid w:val="4CA46B39"/>
    <w:rsid w:val="4CA605EA"/>
    <w:rsid w:val="4CA62594"/>
    <w:rsid w:val="4CAC5C68"/>
    <w:rsid w:val="4CB00EA5"/>
    <w:rsid w:val="4CB9762D"/>
    <w:rsid w:val="4CBF6656"/>
    <w:rsid w:val="4CC02186"/>
    <w:rsid w:val="4CC623B5"/>
    <w:rsid w:val="4CC820EB"/>
    <w:rsid w:val="4CCD3203"/>
    <w:rsid w:val="4CCE33F5"/>
    <w:rsid w:val="4CD2388F"/>
    <w:rsid w:val="4CD31A5D"/>
    <w:rsid w:val="4CD7254C"/>
    <w:rsid w:val="4CE216E4"/>
    <w:rsid w:val="4CE3752F"/>
    <w:rsid w:val="4CE37EAB"/>
    <w:rsid w:val="4CF20803"/>
    <w:rsid w:val="4CF3744D"/>
    <w:rsid w:val="4CF431C6"/>
    <w:rsid w:val="4CF60CEC"/>
    <w:rsid w:val="4CF82A09"/>
    <w:rsid w:val="4CFB09F8"/>
    <w:rsid w:val="4D0820C6"/>
    <w:rsid w:val="4D09016C"/>
    <w:rsid w:val="4D154698"/>
    <w:rsid w:val="4D191EF7"/>
    <w:rsid w:val="4D19661C"/>
    <w:rsid w:val="4D1D34E8"/>
    <w:rsid w:val="4D2077C0"/>
    <w:rsid w:val="4D2B3BC0"/>
    <w:rsid w:val="4D2B7D44"/>
    <w:rsid w:val="4D2D39CF"/>
    <w:rsid w:val="4D3D0F86"/>
    <w:rsid w:val="4D40640B"/>
    <w:rsid w:val="4D4664C2"/>
    <w:rsid w:val="4D5A1810"/>
    <w:rsid w:val="4D6421D3"/>
    <w:rsid w:val="4D64620A"/>
    <w:rsid w:val="4D673998"/>
    <w:rsid w:val="4D713483"/>
    <w:rsid w:val="4D8030BD"/>
    <w:rsid w:val="4D844660"/>
    <w:rsid w:val="4D8D0F81"/>
    <w:rsid w:val="4D930C30"/>
    <w:rsid w:val="4D95539D"/>
    <w:rsid w:val="4D972DBE"/>
    <w:rsid w:val="4D9A1FBF"/>
    <w:rsid w:val="4D9F171A"/>
    <w:rsid w:val="4D9F7B93"/>
    <w:rsid w:val="4DA04BCE"/>
    <w:rsid w:val="4DA72E1E"/>
    <w:rsid w:val="4DAA13BA"/>
    <w:rsid w:val="4DB03590"/>
    <w:rsid w:val="4DB67277"/>
    <w:rsid w:val="4DC62DB4"/>
    <w:rsid w:val="4DC97FAC"/>
    <w:rsid w:val="4DD5385F"/>
    <w:rsid w:val="4DD57383"/>
    <w:rsid w:val="4DDC0956"/>
    <w:rsid w:val="4DF06083"/>
    <w:rsid w:val="4DF13CD1"/>
    <w:rsid w:val="4DF26BF1"/>
    <w:rsid w:val="4DF453C1"/>
    <w:rsid w:val="4DF551E8"/>
    <w:rsid w:val="4DF630FF"/>
    <w:rsid w:val="4DF8772F"/>
    <w:rsid w:val="4DFB57DC"/>
    <w:rsid w:val="4DFF618A"/>
    <w:rsid w:val="4E084F38"/>
    <w:rsid w:val="4E086F29"/>
    <w:rsid w:val="4E0A36AE"/>
    <w:rsid w:val="4E124D56"/>
    <w:rsid w:val="4E1535E4"/>
    <w:rsid w:val="4E1C29D4"/>
    <w:rsid w:val="4E343BF7"/>
    <w:rsid w:val="4E357EEB"/>
    <w:rsid w:val="4E364AEE"/>
    <w:rsid w:val="4E413F4E"/>
    <w:rsid w:val="4E4F259D"/>
    <w:rsid w:val="4E516B22"/>
    <w:rsid w:val="4E52456B"/>
    <w:rsid w:val="4E546612"/>
    <w:rsid w:val="4E5818FB"/>
    <w:rsid w:val="4E595CF3"/>
    <w:rsid w:val="4E5B34FC"/>
    <w:rsid w:val="4E5C291E"/>
    <w:rsid w:val="4E654017"/>
    <w:rsid w:val="4E683820"/>
    <w:rsid w:val="4E6D114D"/>
    <w:rsid w:val="4E6D2831"/>
    <w:rsid w:val="4E6D51B6"/>
    <w:rsid w:val="4E6F0F2B"/>
    <w:rsid w:val="4E710F72"/>
    <w:rsid w:val="4E7E543D"/>
    <w:rsid w:val="4E8A2365"/>
    <w:rsid w:val="4E8A3137"/>
    <w:rsid w:val="4E8F7C48"/>
    <w:rsid w:val="4E9107AE"/>
    <w:rsid w:val="4E911C72"/>
    <w:rsid w:val="4E9A5D01"/>
    <w:rsid w:val="4EA16EDB"/>
    <w:rsid w:val="4EA25B1C"/>
    <w:rsid w:val="4EAE6BE0"/>
    <w:rsid w:val="4EB73F74"/>
    <w:rsid w:val="4EB75D96"/>
    <w:rsid w:val="4EBF4C6B"/>
    <w:rsid w:val="4EC30BF2"/>
    <w:rsid w:val="4EC5306C"/>
    <w:rsid w:val="4ECB3189"/>
    <w:rsid w:val="4ECE0172"/>
    <w:rsid w:val="4ECE3D25"/>
    <w:rsid w:val="4EE12C04"/>
    <w:rsid w:val="4EE34712"/>
    <w:rsid w:val="4EE64CA6"/>
    <w:rsid w:val="4EEB374A"/>
    <w:rsid w:val="4EED71C9"/>
    <w:rsid w:val="4EF9516B"/>
    <w:rsid w:val="4EFB79A0"/>
    <w:rsid w:val="4F02323D"/>
    <w:rsid w:val="4F050F70"/>
    <w:rsid w:val="4F1B2C8C"/>
    <w:rsid w:val="4F1B712F"/>
    <w:rsid w:val="4F245FE4"/>
    <w:rsid w:val="4F363FDC"/>
    <w:rsid w:val="4F3A02C7"/>
    <w:rsid w:val="4F3E4CD2"/>
    <w:rsid w:val="4F497832"/>
    <w:rsid w:val="4F4C72E9"/>
    <w:rsid w:val="4F5504CC"/>
    <w:rsid w:val="4F552152"/>
    <w:rsid w:val="4F5546FC"/>
    <w:rsid w:val="4F56410B"/>
    <w:rsid w:val="4F582A4C"/>
    <w:rsid w:val="4F5C5F09"/>
    <w:rsid w:val="4F5F60B3"/>
    <w:rsid w:val="4F662BAC"/>
    <w:rsid w:val="4F6638BF"/>
    <w:rsid w:val="4F670C8A"/>
    <w:rsid w:val="4F6E3703"/>
    <w:rsid w:val="4F6F58A5"/>
    <w:rsid w:val="4F742D60"/>
    <w:rsid w:val="4F751EC0"/>
    <w:rsid w:val="4F786330"/>
    <w:rsid w:val="4F850DBE"/>
    <w:rsid w:val="4F887928"/>
    <w:rsid w:val="4F8B70B1"/>
    <w:rsid w:val="4F8E04DF"/>
    <w:rsid w:val="4F985E85"/>
    <w:rsid w:val="4F9F1B22"/>
    <w:rsid w:val="4FA310F6"/>
    <w:rsid w:val="4FB37232"/>
    <w:rsid w:val="4FBD2426"/>
    <w:rsid w:val="4FBE20CD"/>
    <w:rsid w:val="4FBF6703"/>
    <w:rsid w:val="4FD317B8"/>
    <w:rsid w:val="4FDD5306"/>
    <w:rsid w:val="4FE02E77"/>
    <w:rsid w:val="4FE41FEE"/>
    <w:rsid w:val="4FF31089"/>
    <w:rsid w:val="4FF52EBF"/>
    <w:rsid w:val="50147A56"/>
    <w:rsid w:val="501800F4"/>
    <w:rsid w:val="501D2AC3"/>
    <w:rsid w:val="502016BB"/>
    <w:rsid w:val="5031422A"/>
    <w:rsid w:val="503D29CE"/>
    <w:rsid w:val="50401257"/>
    <w:rsid w:val="50416722"/>
    <w:rsid w:val="504A43DB"/>
    <w:rsid w:val="504A7CCC"/>
    <w:rsid w:val="50524CC6"/>
    <w:rsid w:val="505428F9"/>
    <w:rsid w:val="506358F9"/>
    <w:rsid w:val="50690219"/>
    <w:rsid w:val="506A3ECB"/>
    <w:rsid w:val="506A5C79"/>
    <w:rsid w:val="50787D6C"/>
    <w:rsid w:val="507E1724"/>
    <w:rsid w:val="507E5F56"/>
    <w:rsid w:val="5081501F"/>
    <w:rsid w:val="508819B1"/>
    <w:rsid w:val="508A0C8A"/>
    <w:rsid w:val="508B7866"/>
    <w:rsid w:val="508C408F"/>
    <w:rsid w:val="509466C0"/>
    <w:rsid w:val="50950D10"/>
    <w:rsid w:val="50964CC0"/>
    <w:rsid w:val="50996AFD"/>
    <w:rsid w:val="509D4B49"/>
    <w:rsid w:val="509E795B"/>
    <w:rsid w:val="50A35107"/>
    <w:rsid w:val="50A5271E"/>
    <w:rsid w:val="50A77F0C"/>
    <w:rsid w:val="50AF18DD"/>
    <w:rsid w:val="50B24C9C"/>
    <w:rsid w:val="50B37994"/>
    <w:rsid w:val="50B60EBE"/>
    <w:rsid w:val="50BC4A6D"/>
    <w:rsid w:val="50BE7D72"/>
    <w:rsid w:val="50C31FBB"/>
    <w:rsid w:val="50C379F2"/>
    <w:rsid w:val="50C51101"/>
    <w:rsid w:val="50C75364"/>
    <w:rsid w:val="50C80CF8"/>
    <w:rsid w:val="50D15CF8"/>
    <w:rsid w:val="50D562FC"/>
    <w:rsid w:val="50D87452"/>
    <w:rsid w:val="50D91050"/>
    <w:rsid w:val="50E15F76"/>
    <w:rsid w:val="50E862FE"/>
    <w:rsid w:val="50E927B4"/>
    <w:rsid w:val="50EF5995"/>
    <w:rsid w:val="50F33EC0"/>
    <w:rsid w:val="50F45C16"/>
    <w:rsid w:val="50F87728"/>
    <w:rsid w:val="50F97A92"/>
    <w:rsid w:val="50FB099D"/>
    <w:rsid w:val="50FB70E0"/>
    <w:rsid w:val="5100038B"/>
    <w:rsid w:val="510315A4"/>
    <w:rsid w:val="511E5F46"/>
    <w:rsid w:val="51200A2D"/>
    <w:rsid w:val="51271A45"/>
    <w:rsid w:val="51360191"/>
    <w:rsid w:val="514C6B9D"/>
    <w:rsid w:val="514E6B74"/>
    <w:rsid w:val="515070CE"/>
    <w:rsid w:val="515072DC"/>
    <w:rsid w:val="515135C5"/>
    <w:rsid w:val="51521C27"/>
    <w:rsid w:val="5154562A"/>
    <w:rsid w:val="515B7CB7"/>
    <w:rsid w:val="515D0E2A"/>
    <w:rsid w:val="515E521E"/>
    <w:rsid w:val="515F511F"/>
    <w:rsid w:val="516B1123"/>
    <w:rsid w:val="518106C1"/>
    <w:rsid w:val="518A39B3"/>
    <w:rsid w:val="518F330C"/>
    <w:rsid w:val="51912594"/>
    <w:rsid w:val="51932FAD"/>
    <w:rsid w:val="51A36B09"/>
    <w:rsid w:val="51A55244"/>
    <w:rsid w:val="51A92615"/>
    <w:rsid w:val="51AB479B"/>
    <w:rsid w:val="51B05D8C"/>
    <w:rsid w:val="51B30FF7"/>
    <w:rsid w:val="51B7313F"/>
    <w:rsid w:val="51BC399A"/>
    <w:rsid w:val="51C01C18"/>
    <w:rsid w:val="51CC68AC"/>
    <w:rsid w:val="51D11D27"/>
    <w:rsid w:val="51D93DC2"/>
    <w:rsid w:val="51DE66E9"/>
    <w:rsid w:val="51EA1EA6"/>
    <w:rsid w:val="51F021AD"/>
    <w:rsid w:val="51F31243"/>
    <w:rsid w:val="51F54E5F"/>
    <w:rsid w:val="51F709FB"/>
    <w:rsid w:val="51F779E0"/>
    <w:rsid w:val="51F9772D"/>
    <w:rsid w:val="520F0D79"/>
    <w:rsid w:val="521076B9"/>
    <w:rsid w:val="52162464"/>
    <w:rsid w:val="52163241"/>
    <w:rsid w:val="522263BF"/>
    <w:rsid w:val="523C4660"/>
    <w:rsid w:val="523D0443"/>
    <w:rsid w:val="523D5886"/>
    <w:rsid w:val="52451C0E"/>
    <w:rsid w:val="5246112B"/>
    <w:rsid w:val="524F49E2"/>
    <w:rsid w:val="52554706"/>
    <w:rsid w:val="525904C6"/>
    <w:rsid w:val="525A31CD"/>
    <w:rsid w:val="525E3E78"/>
    <w:rsid w:val="52627CFC"/>
    <w:rsid w:val="526766A6"/>
    <w:rsid w:val="526D7CA2"/>
    <w:rsid w:val="526F0479"/>
    <w:rsid w:val="526F5DA1"/>
    <w:rsid w:val="52703589"/>
    <w:rsid w:val="527044FF"/>
    <w:rsid w:val="527361C7"/>
    <w:rsid w:val="52756B57"/>
    <w:rsid w:val="52825483"/>
    <w:rsid w:val="52853CC3"/>
    <w:rsid w:val="528C4735"/>
    <w:rsid w:val="52915BED"/>
    <w:rsid w:val="529A6F2C"/>
    <w:rsid w:val="529B6919"/>
    <w:rsid w:val="52A9173D"/>
    <w:rsid w:val="52A9189F"/>
    <w:rsid w:val="52AD34B9"/>
    <w:rsid w:val="52C16B25"/>
    <w:rsid w:val="52C86657"/>
    <w:rsid w:val="52C9582B"/>
    <w:rsid w:val="52CF44B9"/>
    <w:rsid w:val="52DB57D9"/>
    <w:rsid w:val="52DC4D09"/>
    <w:rsid w:val="52DE0DC6"/>
    <w:rsid w:val="52DF7530"/>
    <w:rsid w:val="52ED004B"/>
    <w:rsid w:val="52EE18F0"/>
    <w:rsid w:val="52F27999"/>
    <w:rsid w:val="52F76D20"/>
    <w:rsid w:val="53006501"/>
    <w:rsid w:val="53016C22"/>
    <w:rsid w:val="530A163B"/>
    <w:rsid w:val="530A729F"/>
    <w:rsid w:val="530C778E"/>
    <w:rsid w:val="531967B9"/>
    <w:rsid w:val="53196DCB"/>
    <w:rsid w:val="531A4B73"/>
    <w:rsid w:val="531D634D"/>
    <w:rsid w:val="53226CDE"/>
    <w:rsid w:val="532438F7"/>
    <w:rsid w:val="53292921"/>
    <w:rsid w:val="53295F89"/>
    <w:rsid w:val="532D6072"/>
    <w:rsid w:val="53360094"/>
    <w:rsid w:val="53373E96"/>
    <w:rsid w:val="534B4272"/>
    <w:rsid w:val="534C3D5B"/>
    <w:rsid w:val="534C5B09"/>
    <w:rsid w:val="534E470C"/>
    <w:rsid w:val="535E04F3"/>
    <w:rsid w:val="535F4C00"/>
    <w:rsid w:val="53661BC5"/>
    <w:rsid w:val="53683F40"/>
    <w:rsid w:val="536E49DC"/>
    <w:rsid w:val="537137C2"/>
    <w:rsid w:val="5372785E"/>
    <w:rsid w:val="53740D97"/>
    <w:rsid w:val="5376484E"/>
    <w:rsid w:val="53854A76"/>
    <w:rsid w:val="538D28CA"/>
    <w:rsid w:val="538D721D"/>
    <w:rsid w:val="53904B2D"/>
    <w:rsid w:val="5392198E"/>
    <w:rsid w:val="539D0552"/>
    <w:rsid w:val="53A87183"/>
    <w:rsid w:val="53B379D4"/>
    <w:rsid w:val="53B41EEA"/>
    <w:rsid w:val="53BE092D"/>
    <w:rsid w:val="53C438F2"/>
    <w:rsid w:val="53C43B32"/>
    <w:rsid w:val="53C92F56"/>
    <w:rsid w:val="53CE29C2"/>
    <w:rsid w:val="53D51319"/>
    <w:rsid w:val="53D55AFF"/>
    <w:rsid w:val="53E36968"/>
    <w:rsid w:val="53E6198B"/>
    <w:rsid w:val="53EA3BBE"/>
    <w:rsid w:val="53EE6044"/>
    <w:rsid w:val="53FA7313"/>
    <w:rsid w:val="53FE0779"/>
    <w:rsid w:val="5402266C"/>
    <w:rsid w:val="540B5324"/>
    <w:rsid w:val="540E4BD7"/>
    <w:rsid w:val="5416066D"/>
    <w:rsid w:val="54180D9B"/>
    <w:rsid w:val="541E3477"/>
    <w:rsid w:val="54252253"/>
    <w:rsid w:val="54297BF9"/>
    <w:rsid w:val="543428B8"/>
    <w:rsid w:val="54347C02"/>
    <w:rsid w:val="5435659E"/>
    <w:rsid w:val="54464ED2"/>
    <w:rsid w:val="545143BA"/>
    <w:rsid w:val="54514A1E"/>
    <w:rsid w:val="54521DC1"/>
    <w:rsid w:val="545253A1"/>
    <w:rsid w:val="545428EA"/>
    <w:rsid w:val="54545B0A"/>
    <w:rsid w:val="545A5E03"/>
    <w:rsid w:val="545B0F08"/>
    <w:rsid w:val="546A429F"/>
    <w:rsid w:val="546E7D01"/>
    <w:rsid w:val="54703A7A"/>
    <w:rsid w:val="54741B79"/>
    <w:rsid w:val="547C1657"/>
    <w:rsid w:val="547C41CC"/>
    <w:rsid w:val="547F5A6B"/>
    <w:rsid w:val="54877A48"/>
    <w:rsid w:val="548A4B3B"/>
    <w:rsid w:val="548E1EFD"/>
    <w:rsid w:val="549C4322"/>
    <w:rsid w:val="54A06443"/>
    <w:rsid w:val="54AF7198"/>
    <w:rsid w:val="54B55930"/>
    <w:rsid w:val="54B93461"/>
    <w:rsid w:val="54C16459"/>
    <w:rsid w:val="54C451D7"/>
    <w:rsid w:val="54C54852"/>
    <w:rsid w:val="54D20F62"/>
    <w:rsid w:val="54D303E1"/>
    <w:rsid w:val="54D9752B"/>
    <w:rsid w:val="54DC2EBD"/>
    <w:rsid w:val="54E7673A"/>
    <w:rsid w:val="54EA55DA"/>
    <w:rsid w:val="54FB77E7"/>
    <w:rsid w:val="550100D6"/>
    <w:rsid w:val="55061CE8"/>
    <w:rsid w:val="550D1BE2"/>
    <w:rsid w:val="55165B54"/>
    <w:rsid w:val="551F1CF6"/>
    <w:rsid w:val="553A2D08"/>
    <w:rsid w:val="553F2B22"/>
    <w:rsid w:val="554271C4"/>
    <w:rsid w:val="55442C14"/>
    <w:rsid w:val="55446295"/>
    <w:rsid w:val="55454F18"/>
    <w:rsid w:val="554B0F6B"/>
    <w:rsid w:val="554D2CFE"/>
    <w:rsid w:val="55725885"/>
    <w:rsid w:val="557259DE"/>
    <w:rsid w:val="557B4794"/>
    <w:rsid w:val="55863C68"/>
    <w:rsid w:val="558676D2"/>
    <w:rsid w:val="5598518C"/>
    <w:rsid w:val="55A30257"/>
    <w:rsid w:val="55A85609"/>
    <w:rsid w:val="55B160F8"/>
    <w:rsid w:val="55BE54F9"/>
    <w:rsid w:val="55C665DF"/>
    <w:rsid w:val="55C75BC7"/>
    <w:rsid w:val="55D342C0"/>
    <w:rsid w:val="55D719B7"/>
    <w:rsid w:val="55E0078B"/>
    <w:rsid w:val="55E619FC"/>
    <w:rsid w:val="55EC1B9C"/>
    <w:rsid w:val="55F124E2"/>
    <w:rsid w:val="55F1474C"/>
    <w:rsid w:val="55F43973"/>
    <w:rsid w:val="55FE6554"/>
    <w:rsid w:val="56026953"/>
    <w:rsid w:val="56067414"/>
    <w:rsid w:val="560B7353"/>
    <w:rsid w:val="56116FFC"/>
    <w:rsid w:val="561346BC"/>
    <w:rsid w:val="56173E09"/>
    <w:rsid w:val="56207E7B"/>
    <w:rsid w:val="56220DA3"/>
    <w:rsid w:val="56221877"/>
    <w:rsid w:val="56226FF5"/>
    <w:rsid w:val="562C577E"/>
    <w:rsid w:val="56305C7F"/>
    <w:rsid w:val="56336F94"/>
    <w:rsid w:val="5648372B"/>
    <w:rsid w:val="564B7C2D"/>
    <w:rsid w:val="56582A17"/>
    <w:rsid w:val="56641C5C"/>
    <w:rsid w:val="56777160"/>
    <w:rsid w:val="568034BE"/>
    <w:rsid w:val="56822AF9"/>
    <w:rsid w:val="56847368"/>
    <w:rsid w:val="56855F7C"/>
    <w:rsid w:val="56861332"/>
    <w:rsid w:val="568D6C9E"/>
    <w:rsid w:val="568F67BB"/>
    <w:rsid w:val="569615A6"/>
    <w:rsid w:val="56980FB7"/>
    <w:rsid w:val="569B0A92"/>
    <w:rsid w:val="569F3E81"/>
    <w:rsid w:val="56A33C92"/>
    <w:rsid w:val="56A82589"/>
    <w:rsid w:val="56AD2D63"/>
    <w:rsid w:val="56B04601"/>
    <w:rsid w:val="56B81344"/>
    <w:rsid w:val="56BC46DB"/>
    <w:rsid w:val="56C20010"/>
    <w:rsid w:val="56C52590"/>
    <w:rsid w:val="56C71B22"/>
    <w:rsid w:val="56E03DE1"/>
    <w:rsid w:val="56E101E0"/>
    <w:rsid w:val="56E52E3F"/>
    <w:rsid w:val="56EB2E42"/>
    <w:rsid w:val="57005A5C"/>
    <w:rsid w:val="5707130B"/>
    <w:rsid w:val="57087A43"/>
    <w:rsid w:val="571406EC"/>
    <w:rsid w:val="57145830"/>
    <w:rsid w:val="571F5B7B"/>
    <w:rsid w:val="57232085"/>
    <w:rsid w:val="57233F19"/>
    <w:rsid w:val="572E5A2E"/>
    <w:rsid w:val="57315742"/>
    <w:rsid w:val="573B17C1"/>
    <w:rsid w:val="57466D6A"/>
    <w:rsid w:val="57510C29"/>
    <w:rsid w:val="57531C44"/>
    <w:rsid w:val="57595590"/>
    <w:rsid w:val="57640F12"/>
    <w:rsid w:val="57671164"/>
    <w:rsid w:val="576A47B0"/>
    <w:rsid w:val="57702BEE"/>
    <w:rsid w:val="57720FDF"/>
    <w:rsid w:val="57767A7D"/>
    <w:rsid w:val="577A251E"/>
    <w:rsid w:val="577D2CF7"/>
    <w:rsid w:val="5780396F"/>
    <w:rsid w:val="578B7B4B"/>
    <w:rsid w:val="578C2529"/>
    <w:rsid w:val="578F2469"/>
    <w:rsid w:val="57931F59"/>
    <w:rsid w:val="57A56983"/>
    <w:rsid w:val="57A8341F"/>
    <w:rsid w:val="57A9368F"/>
    <w:rsid w:val="57AC6744"/>
    <w:rsid w:val="57AD7C56"/>
    <w:rsid w:val="57AE601F"/>
    <w:rsid w:val="57AF0627"/>
    <w:rsid w:val="57B12217"/>
    <w:rsid w:val="57B45D4A"/>
    <w:rsid w:val="57C06B72"/>
    <w:rsid w:val="57C8237E"/>
    <w:rsid w:val="57D12A81"/>
    <w:rsid w:val="57D8738B"/>
    <w:rsid w:val="57D97112"/>
    <w:rsid w:val="57E06B6C"/>
    <w:rsid w:val="57E1031F"/>
    <w:rsid w:val="57E9145E"/>
    <w:rsid w:val="57EA6CCF"/>
    <w:rsid w:val="57ED26DD"/>
    <w:rsid w:val="57EE01E8"/>
    <w:rsid w:val="57F97BC0"/>
    <w:rsid w:val="580249E9"/>
    <w:rsid w:val="5805272B"/>
    <w:rsid w:val="580F7328"/>
    <w:rsid w:val="58126E65"/>
    <w:rsid w:val="58134E48"/>
    <w:rsid w:val="581532DC"/>
    <w:rsid w:val="581A5D88"/>
    <w:rsid w:val="582066AC"/>
    <w:rsid w:val="582C5ECE"/>
    <w:rsid w:val="583074DA"/>
    <w:rsid w:val="58337DE6"/>
    <w:rsid w:val="583549A5"/>
    <w:rsid w:val="58372C70"/>
    <w:rsid w:val="583E1DEA"/>
    <w:rsid w:val="583F1621"/>
    <w:rsid w:val="58501F35"/>
    <w:rsid w:val="58507E4A"/>
    <w:rsid w:val="58597DB7"/>
    <w:rsid w:val="585D6DDD"/>
    <w:rsid w:val="58613E41"/>
    <w:rsid w:val="58705016"/>
    <w:rsid w:val="58737694"/>
    <w:rsid w:val="58785644"/>
    <w:rsid w:val="5878789F"/>
    <w:rsid w:val="587E25BB"/>
    <w:rsid w:val="58894CCC"/>
    <w:rsid w:val="58922659"/>
    <w:rsid w:val="589652D9"/>
    <w:rsid w:val="58975A79"/>
    <w:rsid w:val="589A1951"/>
    <w:rsid w:val="589A7174"/>
    <w:rsid w:val="58A31F69"/>
    <w:rsid w:val="58A5684F"/>
    <w:rsid w:val="58AA6668"/>
    <w:rsid w:val="58AB32D2"/>
    <w:rsid w:val="58AD6625"/>
    <w:rsid w:val="58AF37C1"/>
    <w:rsid w:val="58C72BED"/>
    <w:rsid w:val="58CC10FD"/>
    <w:rsid w:val="58CF4C3C"/>
    <w:rsid w:val="58D410C9"/>
    <w:rsid w:val="58DB2626"/>
    <w:rsid w:val="58DD22E2"/>
    <w:rsid w:val="58E262C4"/>
    <w:rsid w:val="58E32206"/>
    <w:rsid w:val="58E56176"/>
    <w:rsid w:val="58EC170E"/>
    <w:rsid w:val="58F925AB"/>
    <w:rsid w:val="58FB30AC"/>
    <w:rsid w:val="58FE35E3"/>
    <w:rsid w:val="590429E2"/>
    <w:rsid w:val="591144D4"/>
    <w:rsid w:val="59115560"/>
    <w:rsid w:val="5911587D"/>
    <w:rsid w:val="5916474E"/>
    <w:rsid w:val="592260AE"/>
    <w:rsid w:val="592C3311"/>
    <w:rsid w:val="59363D1A"/>
    <w:rsid w:val="593908DE"/>
    <w:rsid w:val="593C3F2A"/>
    <w:rsid w:val="59400A56"/>
    <w:rsid w:val="59406867"/>
    <w:rsid w:val="59470824"/>
    <w:rsid w:val="594C0054"/>
    <w:rsid w:val="594F1A39"/>
    <w:rsid w:val="5951044E"/>
    <w:rsid w:val="59586D4C"/>
    <w:rsid w:val="59661CF1"/>
    <w:rsid w:val="596671F9"/>
    <w:rsid w:val="59675CAF"/>
    <w:rsid w:val="596B23BF"/>
    <w:rsid w:val="596D49F6"/>
    <w:rsid w:val="596F2552"/>
    <w:rsid w:val="596F2F8F"/>
    <w:rsid w:val="59723DF0"/>
    <w:rsid w:val="597B0EF6"/>
    <w:rsid w:val="59815C47"/>
    <w:rsid w:val="59833D7B"/>
    <w:rsid w:val="5986294E"/>
    <w:rsid w:val="598B4958"/>
    <w:rsid w:val="598C1DAF"/>
    <w:rsid w:val="598F79B3"/>
    <w:rsid w:val="59916978"/>
    <w:rsid w:val="599A4311"/>
    <w:rsid w:val="59AA17DC"/>
    <w:rsid w:val="59AD4E28"/>
    <w:rsid w:val="59B3655C"/>
    <w:rsid w:val="59B655E3"/>
    <w:rsid w:val="59B85CA7"/>
    <w:rsid w:val="59BD048F"/>
    <w:rsid w:val="59C64B86"/>
    <w:rsid w:val="59CC30EE"/>
    <w:rsid w:val="59CD4533"/>
    <w:rsid w:val="59D12C7C"/>
    <w:rsid w:val="59D243CF"/>
    <w:rsid w:val="59D958D8"/>
    <w:rsid w:val="59E71CA1"/>
    <w:rsid w:val="59F34F31"/>
    <w:rsid w:val="59F91E1B"/>
    <w:rsid w:val="59FB50A1"/>
    <w:rsid w:val="59FF38D6"/>
    <w:rsid w:val="5A026F22"/>
    <w:rsid w:val="5A0802B0"/>
    <w:rsid w:val="5A106850"/>
    <w:rsid w:val="5A147FCA"/>
    <w:rsid w:val="5A217D93"/>
    <w:rsid w:val="5A2E3431"/>
    <w:rsid w:val="5A2E41BB"/>
    <w:rsid w:val="5A2F3880"/>
    <w:rsid w:val="5A36306F"/>
    <w:rsid w:val="5A3C34F7"/>
    <w:rsid w:val="5A3C720E"/>
    <w:rsid w:val="5A415DF1"/>
    <w:rsid w:val="5A4A5FB2"/>
    <w:rsid w:val="5A4E6D16"/>
    <w:rsid w:val="5A515743"/>
    <w:rsid w:val="5A5551AF"/>
    <w:rsid w:val="5A643739"/>
    <w:rsid w:val="5A6C083F"/>
    <w:rsid w:val="5A753051"/>
    <w:rsid w:val="5A771BB0"/>
    <w:rsid w:val="5A785024"/>
    <w:rsid w:val="5A7B5CD9"/>
    <w:rsid w:val="5A821E11"/>
    <w:rsid w:val="5A865188"/>
    <w:rsid w:val="5A87276C"/>
    <w:rsid w:val="5A8A54FC"/>
    <w:rsid w:val="5A8D7133"/>
    <w:rsid w:val="5A8E4A24"/>
    <w:rsid w:val="5A9E48CF"/>
    <w:rsid w:val="5AA36031"/>
    <w:rsid w:val="5AA45291"/>
    <w:rsid w:val="5AA6307D"/>
    <w:rsid w:val="5AA87072"/>
    <w:rsid w:val="5AAC23D5"/>
    <w:rsid w:val="5ABA4D22"/>
    <w:rsid w:val="5ABB4901"/>
    <w:rsid w:val="5ABB507D"/>
    <w:rsid w:val="5AC07A9B"/>
    <w:rsid w:val="5AC12E23"/>
    <w:rsid w:val="5AC31421"/>
    <w:rsid w:val="5AC95C92"/>
    <w:rsid w:val="5ACA7FD0"/>
    <w:rsid w:val="5AD00DCE"/>
    <w:rsid w:val="5AD41A0F"/>
    <w:rsid w:val="5AD54BBB"/>
    <w:rsid w:val="5AD8351C"/>
    <w:rsid w:val="5AE477C4"/>
    <w:rsid w:val="5AE92F36"/>
    <w:rsid w:val="5AED3117"/>
    <w:rsid w:val="5AF34ABD"/>
    <w:rsid w:val="5AF833E4"/>
    <w:rsid w:val="5AFB6F9D"/>
    <w:rsid w:val="5AFB7822"/>
    <w:rsid w:val="5AFE34D7"/>
    <w:rsid w:val="5AFE3B8D"/>
    <w:rsid w:val="5B0B62AA"/>
    <w:rsid w:val="5B0D0619"/>
    <w:rsid w:val="5B1769FD"/>
    <w:rsid w:val="5B180B32"/>
    <w:rsid w:val="5B1A7325"/>
    <w:rsid w:val="5B1E282A"/>
    <w:rsid w:val="5B2829B8"/>
    <w:rsid w:val="5B2D0E97"/>
    <w:rsid w:val="5B360DA2"/>
    <w:rsid w:val="5B417F1E"/>
    <w:rsid w:val="5B4426CC"/>
    <w:rsid w:val="5B45502A"/>
    <w:rsid w:val="5B541094"/>
    <w:rsid w:val="5B5A6B7C"/>
    <w:rsid w:val="5B692B6C"/>
    <w:rsid w:val="5B763DA7"/>
    <w:rsid w:val="5B7756EE"/>
    <w:rsid w:val="5B7F25E3"/>
    <w:rsid w:val="5B86088E"/>
    <w:rsid w:val="5B890EBC"/>
    <w:rsid w:val="5B901A4B"/>
    <w:rsid w:val="5B943DEA"/>
    <w:rsid w:val="5B9C7B13"/>
    <w:rsid w:val="5BA14C85"/>
    <w:rsid w:val="5BA5225B"/>
    <w:rsid w:val="5BA60541"/>
    <w:rsid w:val="5BB43EFF"/>
    <w:rsid w:val="5BC052E6"/>
    <w:rsid w:val="5BC16969"/>
    <w:rsid w:val="5BD14761"/>
    <w:rsid w:val="5BD51F39"/>
    <w:rsid w:val="5BE07790"/>
    <w:rsid w:val="5BE35273"/>
    <w:rsid w:val="5BE51F35"/>
    <w:rsid w:val="5BE629A6"/>
    <w:rsid w:val="5BE75BFA"/>
    <w:rsid w:val="5BEA377A"/>
    <w:rsid w:val="5BEC7E8A"/>
    <w:rsid w:val="5C012D4D"/>
    <w:rsid w:val="5C0A6562"/>
    <w:rsid w:val="5C186DA0"/>
    <w:rsid w:val="5C264B8F"/>
    <w:rsid w:val="5C294C3A"/>
    <w:rsid w:val="5C356809"/>
    <w:rsid w:val="5C3A4C46"/>
    <w:rsid w:val="5C457C30"/>
    <w:rsid w:val="5C4C5B57"/>
    <w:rsid w:val="5C6E4D42"/>
    <w:rsid w:val="5C740AD9"/>
    <w:rsid w:val="5C75616E"/>
    <w:rsid w:val="5C7B1E2A"/>
    <w:rsid w:val="5C7C1B92"/>
    <w:rsid w:val="5C7D4F86"/>
    <w:rsid w:val="5C82259C"/>
    <w:rsid w:val="5C852397"/>
    <w:rsid w:val="5C8A7179"/>
    <w:rsid w:val="5C9127DF"/>
    <w:rsid w:val="5C9A78E6"/>
    <w:rsid w:val="5C9C6DD9"/>
    <w:rsid w:val="5CA442C0"/>
    <w:rsid w:val="5CA53D91"/>
    <w:rsid w:val="5CB33134"/>
    <w:rsid w:val="5CC46711"/>
    <w:rsid w:val="5CC543A9"/>
    <w:rsid w:val="5CD37602"/>
    <w:rsid w:val="5CD638ED"/>
    <w:rsid w:val="5CDD4CF3"/>
    <w:rsid w:val="5CE60D7D"/>
    <w:rsid w:val="5CEA054D"/>
    <w:rsid w:val="5CEA2C68"/>
    <w:rsid w:val="5CFA052B"/>
    <w:rsid w:val="5CFE31AF"/>
    <w:rsid w:val="5D047612"/>
    <w:rsid w:val="5D094EB5"/>
    <w:rsid w:val="5D0C1063"/>
    <w:rsid w:val="5D175169"/>
    <w:rsid w:val="5D211DB5"/>
    <w:rsid w:val="5D212533"/>
    <w:rsid w:val="5D23392F"/>
    <w:rsid w:val="5D2F3B16"/>
    <w:rsid w:val="5D3B0688"/>
    <w:rsid w:val="5D3B2FE5"/>
    <w:rsid w:val="5D3F4BF0"/>
    <w:rsid w:val="5D414205"/>
    <w:rsid w:val="5D41665C"/>
    <w:rsid w:val="5D492D4A"/>
    <w:rsid w:val="5D520FC4"/>
    <w:rsid w:val="5D540CC4"/>
    <w:rsid w:val="5D5B7635"/>
    <w:rsid w:val="5D5D1399"/>
    <w:rsid w:val="5D5E3EC4"/>
    <w:rsid w:val="5D6677C8"/>
    <w:rsid w:val="5D713A19"/>
    <w:rsid w:val="5D7419A8"/>
    <w:rsid w:val="5D7752CB"/>
    <w:rsid w:val="5D946705"/>
    <w:rsid w:val="5D9504B4"/>
    <w:rsid w:val="5D9A631E"/>
    <w:rsid w:val="5D9E353D"/>
    <w:rsid w:val="5D9F0F2C"/>
    <w:rsid w:val="5DA7109D"/>
    <w:rsid w:val="5DAB616D"/>
    <w:rsid w:val="5DB77E1D"/>
    <w:rsid w:val="5DBC1ADE"/>
    <w:rsid w:val="5DC60467"/>
    <w:rsid w:val="5DC87CB4"/>
    <w:rsid w:val="5DDB1F64"/>
    <w:rsid w:val="5DE004FC"/>
    <w:rsid w:val="5DEA6330"/>
    <w:rsid w:val="5DF033E6"/>
    <w:rsid w:val="5DF42546"/>
    <w:rsid w:val="5DF503E4"/>
    <w:rsid w:val="5DF9019C"/>
    <w:rsid w:val="5E04412E"/>
    <w:rsid w:val="5E084319"/>
    <w:rsid w:val="5E0B4FD6"/>
    <w:rsid w:val="5E0C2E82"/>
    <w:rsid w:val="5E0D380A"/>
    <w:rsid w:val="5E174115"/>
    <w:rsid w:val="5E27164D"/>
    <w:rsid w:val="5E325156"/>
    <w:rsid w:val="5E337FF2"/>
    <w:rsid w:val="5E3C72AD"/>
    <w:rsid w:val="5E416E67"/>
    <w:rsid w:val="5E423A8D"/>
    <w:rsid w:val="5E485CB8"/>
    <w:rsid w:val="5E5835B4"/>
    <w:rsid w:val="5E5D0BCB"/>
    <w:rsid w:val="5E6C555B"/>
    <w:rsid w:val="5E6D4195"/>
    <w:rsid w:val="5E72057F"/>
    <w:rsid w:val="5E7657EF"/>
    <w:rsid w:val="5E7C4A8F"/>
    <w:rsid w:val="5E827114"/>
    <w:rsid w:val="5E8E60D0"/>
    <w:rsid w:val="5E94013D"/>
    <w:rsid w:val="5E950655"/>
    <w:rsid w:val="5EAA19DC"/>
    <w:rsid w:val="5EB26D4F"/>
    <w:rsid w:val="5EB44B62"/>
    <w:rsid w:val="5EB6243E"/>
    <w:rsid w:val="5EC40C4A"/>
    <w:rsid w:val="5EC95480"/>
    <w:rsid w:val="5ECB6840"/>
    <w:rsid w:val="5ECD1CA7"/>
    <w:rsid w:val="5ECE7F48"/>
    <w:rsid w:val="5ED2780B"/>
    <w:rsid w:val="5EE375CA"/>
    <w:rsid w:val="5EE57941"/>
    <w:rsid w:val="5EE57F2A"/>
    <w:rsid w:val="5EF47394"/>
    <w:rsid w:val="5EF528C8"/>
    <w:rsid w:val="5EF52A44"/>
    <w:rsid w:val="5EF859FA"/>
    <w:rsid w:val="5EFD5F0A"/>
    <w:rsid w:val="5EFF074E"/>
    <w:rsid w:val="5EFF1968"/>
    <w:rsid w:val="5F003281"/>
    <w:rsid w:val="5F052521"/>
    <w:rsid w:val="5F090991"/>
    <w:rsid w:val="5F1138C8"/>
    <w:rsid w:val="5F142974"/>
    <w:rsid w:val="5F1C52D8"/>
    <w:rsid w:val="5F227AF3"/>
    <w:rsid w:val="5F2565B4"/>
    <w:rsid w:val="5F265461"/>
    <w:rsid w:val="5F2E78F7"/>
    <w:rsid w:val="5F32615C"/>
    <w:rsid w:val="5F362864"/>
    <w:rsid w:val="5F3F2416"/>
    <w:rsid w:val="5F3F4106"/>
    <w:rsid w:val="5F466C5B"/>
    <w:rsid w:val="5F501B97"/>
    <w:rsid w:val="5F52067F"/>
    <w:rsid w:val="5F566056"/>
    <w:rsid w:val="5F6248C3"/>
    <w:rsid w:val="5F651467"/>
    <w:rsid w:val="5F6A5858"/>
    <w:rsid w:val="5F6A682F"/>
    <w:rsid w:val="5F784F1E"/>
    <w:rsid w:val="5F794DA2"/>
    <w:rsid w:val="5F7E529D"/>
    <w:rsid w:val="5F876A1E"/>
    <w:rsid w:val="5FA56397"/>
    <w:rsid w:val="5FA84BE7"/>
    <w:rsid w:val="5FB24F46"/>
    <w:rsid w:val="5FB80B47"/>
    <w:rsid w:val="5FD474B6"/>
    <w:rsid w:val="5FE80793"/>
    <w:rsid w:val="5FE95A72"/>
    <w:rsid w:val="6005776C"/>
    <w:rsid w:val="600748C3"/>
    <w:rsid w:val="600876A7"/>
    <w:rsid w:val="600D03CE"/>
    <w:rsid w:val="601C4AB5"/>
    <w:rsid w:val="602B69E8"/>
    <w:rsid w:val="60315E6F"/>
    <w:rsid w:val="603A0C28"/>
    <w:rsid w:val="603C4A02"/>
    <w:rsid w:val="603F7782"/>
    <w:rsid w:val="6042451C"/>
    <w:rsid w:val="60520C0F"/>
    <w:rsid w:val="60534835"/>
    <w:rsid w:val="60691426"/>
    <w:rsid w:val="606A6BBD"/>
    <w:rsid w:val="606C4CBD"/>
    <w:rsid w:val="60730B79"/>
    <w:rsid w:val="60996106"/>
    <w:rsid w:val="609C070C"/>
    <w:rsid w:val="60A445C7"/>
    <w:rsid w:val="60AA431A"/>
    <w:rsid w:val="60B21D55"/>
    <w:rsid w:val="60B81E2F"/>
    <w:rsid w:val="60C1666A"/>
    <w:rsid w:val="60C65130"/>
    <w:rsid w:val="60CF4173"/>
    <w:rsid w:val="60E03D35"/>
    <w:rsid w:val="60E16E8E"/>
    <w:rsid w:val="60EB4BB4"/>
    <w:rsid w:val="6101040B"/>
    <w:rsid w:val="61054F3C"/>
    <w:rsid w:val="611250B1"/>
    <w:rsid w:val="61134201"/>
    <w:rsid w:val="61181721"/>
    <w:rsid w:val="611F0A8F"/>
    <w:rsid w:val="61303CF6"/>
    <w:rsid w:val="613A51F3"/>
    <w:rsid w:val="61425169"/>
    <w:rsid w:val="6145384B"/>
    <w:rsid w:val="614C6076"/>
    <w:rsid w:val="615715D6"/>
    <w:rsid w:val="615946AA"/>
    <w:rsid w:val="615A0AD4"/>
    <w:rsid w:val="615C36A3"/>
    <w:rsid w:val="616057DB"/>
    <w:rsid w:val="61641734"/>
    <w:rsid w:val="616C0E20"/>
    <w:rsid w:val="61703286"/>
    <w:rsid w:val="61734293"/>
    <w:rsid w:val="617526CF"/>
    <w:rsid w:val="61756DAA"/>
    <w:rsid w:val="617C11BF"/>
    <w:rsid w:val="61891CD7"/>
    <w:rsid w:val="618951D4"/>
    <w:rsid w:val="61AD22A8"/>
    <w:rsid w:val="61AF58EC"/>
    <w:rsid w:val="61B56F70"/>
    <w:rsid w:val="61B6794B"/>
    <w:rsid w:val="61B91BA5"/>
    <w:rsid w:val="61C36B7E"/>
    <w:rsid w:val="61CA731C"/>
    <w:rsid w:val="61CD250B"/>
    <w:rsid w:val="61CE0E11"/>
    <w:rsid w:val="61DB148D"/>
    <w:rsid w:val="61DB152F"/>
    <w:rsid w:val="61E13039"/>
    <w:rsid w:val="61E53ED5"/>
    <w:rsid w:val="61E81A5B"/>
    <w:rsid w:val="61E92979"/>
    <w:rsid w:val="61EC6B30"/>
    <w:rsid w:val="61F01B4D"/>
    <w:rsid w:val="62023BB3"/>
    <w:rsid w:val="62164157"/>
    <w:rsid w:val="62167F56"/>
    <w:rsid w:val="62210161"/>
    <w:rsid w:val="6223385A"/>
    <w:rsid w:val="62324546"/>
    <w:rsid w:val="62361BDC"/>
    <w:rsid w:val="6236429B"/>
    <w:rsid w:val="62375819"/>
    <w:rsid w:val="623F5CF2"/>
    <w:rsid w:val="62402CDD"/>
    <w:rsid w:val="624125B1"/>
    <w:rsid w:val="62475CB2"/>
    <w:rsid w:val="624844EB"/>
    <w:rsid w:val="624C52AC"/>
    <w:rsid w:val="624D53FA"/>
    <w:rsid w:val="62557FA5"/>
    <w:rsid w:val="62603B6A"/>
    <w:rsid w:val="626168E4"/>
    <w:rsid w:val="6263198D"/>
    <w:rsid w:val="62694366"/>
    <w:rsid w:val="626C1FB2"/>
    <w:rsid w:val="626F1C43"/>
    <w:rsid w:val="626F3542"/>
    <w:rsid w:val="626F5370"/>
    <w:rsid w:val="627457A3"/>
    <w:rsid w:val="62754303"/>
    <w:rsid w:val="62793992"/>
    <w:rsid w:val="6287515C"/>
    <w:rsid w:val="62892EAD"/>
    <w:rsid w:val="628D0BEA"/>
    <w:rsid w:val="628F2605"/>
    <w:rsid w:val="6294045B"/>
    <w:rsid w:val="62960B4F"/>
    <w:rsid w:val="62A019CE"/>
    <w:rsid w:val="62A24FB1"/>
    <w:rsid w:val="62A274F4"/>
    <w:rsid w:val="62A60B9D"/>
    <w:rsid w:val="62AE2638"/>
    <w:rsid w:val="62B45F2D"/>
    <w:rsid w:val="62B62660"/>
    <w:rsid w:val="62B9384A"/>
    <w:rsid w:val="62DA4EE0"/>
    <w:rsid w:val="62E96983"/>
    <w:rsid w:val="62FB5E09"/>
    <w:rsid w:val="630C0E11"/>
    <w:rsid w:val="630E701D"/>
    <w:rsid w:val="63137596"/>
    <w:rsid w:val="632071E6"/>
    <w:rsid w:val="63290511"/>
    <w:rsid w:val="63297C0E"/>
    <w:rsid w:val="632E0D88"/>
    <w:rsid w:val="632E6FDA"/>
    <w:rsid w:val="63343EC4"/>
    <w:rsid w:val="634020A6"/>
    <w:rsid w:val="635879FD"/>
    <w:rsid w:val="636F21EF"/>
    <w:rsid w:val="63713EB7"/>
    <w:rsid w:val="63724F72"/>
    <w:rsid w:val="63777415"/>
    <w:rsid w:val="637B50AC"/>
    <w:rsid w:val="637D3ABD"/>
    <w:rsid w:val="637F5A87"/>
    <w:rsid w:val="638D0263"/>
    <w:rsid w:val="63974B7F"/>
    <w:rsid w:val="639A641D"/>
    <w:rsid w:val="63AC0ED1"/>
    <w:rsid w:val="63AD4393"/>
    <w:rsid w:val="63C64B51"/>
    <w:rsid w:val="63DE7433"/>
    <w:rsid w:val="63DE7E66"/>
    <w:rsid w:val="63DF6B70"/>
    <w:rsid w:val="63E03DB2"/>
    <w:rsid w:val="63E3691B"/>
    <w:rsid w:val="63E95538"/>
    <w:rsid w:val="63EE4271"/>
    <w:rsid w:val="63F6022D"/>
    <w:rsid w:val="64034907"/>
    <w:rsid w:val="6408504A"/>
    <w:rsid w:val="640931CD"/>
    <w:rsid w:val="640B2C4A"/>
    <w:rsid w:val="64104931"/>
    <w:rsid w:val="64156565"/>
    <w:rsid w:val="64182A7A"/>
    <w:rsid w:val="641A4DC5"/>
    <w:rsid w:val="642301C1"/>
    <w:rsid w:val="64236257"/>
    <w:rsid w:val="642A05F9"/>
    <w:rsid w:val="642D505E"/>
    <w:rsid w:val="64485E79"/>
    <w:rsid w:val="64497269"/>
    <w:rsid w:val="644A73FD"/>
    <w:rsid w:val="644D348F"/>
    <w:rsid w:val="646D58E0"/>
    <w:rsid w:val="64765663"/>
    <w:rsid w:val="64786FD1"/>
    <w:rsid w:val="64800857"/>
    <w:rsid w:val="64923598"/>
    <w:rsid w:val="64947310"/>
    <w:rsid w:val="649B2B27"/>
    <w:rsid w:val="649C7F73"/>
    <w:rsid w:val="64A4052C"/>
    <w:rsid w:val="64A846DD"/>
    <w:rsid w:val="64AF303B"/>
    <w:rsid w:val="64BB4242"/>
    <w:rsid w:val="64BB699B"/>
    <w:rsid w:val="64C9520C"/>
    <w:rsid w:val="64CC6AAA"/>
    <w:rsid w:val="64CD558A"/>
    <w:rsid w:val="64CE2822"/>
    <w:rsid w:val="64CF659A"/>
    <w:rsid w:val="64D34994"/>
    <w:rsid w:val="64D37D44"/>
    <w:rsid w:val="64DB6CED"/>
    <w:rsid w:val="64E27B8E"/>
    <w:rsid w:val="64E607C0"/>
    <w:rsid w:val="64E63298"/>
    <w:rsid w:val="64E75AE9"/>
    <w:rsid w:val="65050963"/>
    <w:rsid w:val="65073166"/>
    <w:rsid w:val="65080443"/>
    <w:rsid w:val="650E0924"/>
    <w:rsid w:val="65130A88"/>
    <w:rsid w:val="651B533C"/>
    <w:rsid w:val="651D6602"/>
    <w:rsid w:val="65216D80"/>
    <w:rsid w:val="653218E0"/>
    <w:rsid w:val="653227D1"/>
    <w:rsid w:val="65426726"/>
    <w:rsid w:val="65516120"/>
    <w:rsid w:val="6554084E"/>
    <w:rsid w:val="6556348A"/>
    <w:rsid w:val="655E40F7"/>
    <w:rsid w:val="655F791E"/>
    <w:rsid w:val="65652A5B"/>
    <w:rsid w:val="656C3DE9"/>
    <w:rsid w:val="656E63C3"/>
    <w:rsid w:val="656F60A3"/>
    <w:rsid w:val="6575321F"/>
    <w:rsid w:val="657D5FF6"/>
    <w:rsid w:val="65836377"/>
    <w:rsid w:val="65870C23"/>
    <w:rsid w:val="658C3776"/>
    <w:rsid w:val="658E34D7"/>
    <w:rsid w:val="658E5B0E"/>
    <w:rsid w:val="659173EB"/>
    <w:rsid w:val="65967B08"/>
    <w:rsid w:val="659A04FE"/>
    <w:rsid w:val="659B2B02"/>
    <w:rsid w:val="659B6C96"/>
    <w:rsid w:val="659F3E33"/>
    <w:rsid w:val="65A6554D"/>
    <w:rsid w:val="65AB7688"/>
    <w:rsid w:val="65AF07A8"/>
    <w:rsid w:val="65B2439B"/>
    <w:rsid w:val="65B512EC"/>
    <w:rsid w:val="65C77F76"/>
    <w:rsid w:val="65CF314E"/>
    <w:rsid w:val="65D00A73"/>
    <w:rsid w:val="65D362C1"/>
    <w:rsid w:val="65D42010"/>
    <w:rsid w:val="65E166B5"/>
    <w:rsid w:val="65E96A22"/>
    <w:rsid w:val="65F410EE"/>
    <w:rsid w:val="65F64714"/>
    <w:rsid w:val="65FF638A"/>
    <w:rsid w:val="660523A5"/>
    <w:rsid w:val="66064CF6"/>
    <w:rsid w:val="660A7037"/>
    <w:rsid w:val="660E220B"/>
    <w:rsid w:val="66121FC4"/>
    <w:rsid w:val="661565EC"/>
    <w:rsid w:val="66173D55"/>
    <w:rsid w:val="662416C7"/>
    <w:rsid w:val="66354A45"/>
    <w:rsid w:val="663675D4"/>
    <w:rsid w:val="663A17B9"/>
    <w:rsid w:val="66495ED8"/>
    <w:rsid w:val="664A2677"/>
    <w:rsid w:val="664E3F2B"/>
    <w:rsid w:val="66556C0A"/>
    <w:rsid w:val="665602E4"/>
    <w:rsid w:val="665A00E6"/>
    <w:rsid w:val="665D1258"/>
    <w:rsid w:val="66672F25"/>
    <w:rsid w:val="666E3CF2"/>
    <w:rsid w:val="668634DA"/>
    <w:rsid w:val="668E2348"/>
    <w:rsid w:val="66910D1D"/>
    <w:rsid w:val="66A76A5F"/>
    <w:rsid w:val="66A972C4"/>
    <w:rsid w:val="66B43025"/>
    <w:rsid w:val="66B606B9"/>
    <w:rsid w:val="66BE7D34"/>
    <w:rsid w:val="66CD66B1"/>
    <w:rsid w:val="66D82907"/>
    <w:rsid w:val="66DB4D83"/>
    <w:rsid w:val="66DC0AFB"/>
    <w:rsid w:val="66E13B8F"/>
    <w:rsid w:val="66E46C3E"/>
    <w:rsid w:val="66EE66BA"/>
    <w:rsid w:val="66F62866"/>
    <w:rsid w:val="66FA54B0"/>
    <w:rsid w:val="66FE3548"/>
    <w:rsid w:val="670B5F04"/>
    <w:rsid w:val="670E46A1"/>
    <w:rsid w:val="671A17B5"/>
    <w:rsid w:val="6720087E"/>
    <w:rsid w:val="672F682C"/>
    <w:rsid w:val="67446FAD"/>
    <w:rsid w:val="67480467"/>
    <w:rsid w:val="67485074"/>
    <w:rsid w:val="674B13D1"/>
    <w:rsid w:val="674B59EF"/>
    <w:rsid w:val="674B7F26"/>
    <w:rsid w:val="6755193F"/>
    <w:rsid w:val="675637BE"/>
    <w:rsid w:val="67580AC9"/>
    <w:rsid w:val="67636471"/>
    <w:rsid w:val="676D277B"/>
    <w:rsid w:val="67705FC7"/>
    <w:rsid w:val="677C2589"/>
    <w:rsid w:val="67903DA6"/>
    <w:rsid w:val="67914A31"/>
    <w:rsid w:val="67924CB5"/>
    <w:rsid w:val="67930F47"/>
    <w:rsid w:val="679B6833"/>
    <w:rsid w:val="679D2AEB"/>
    <w:rsid w:val="67A11440"/>
    <w:rsid w:val="67A755AC"/>
    <w:rsid w:val="67AE06E9"/>
    <w:rsid w:val="67B4083D"/>
    <w:rsid w:val="67BA6A8A"/>
    <w:rsid w:val="67C23EE9"/>
    <w:rsid w:val="67C27CF0"/>
    <w:rsid w:val="67C343D3"/>
    <w:rsid w:val="67C73559"/>
    <w:rsid w:val="67CC5937"/>
    <w:rsid w:val="67D1154D"/>
    <w:rsid w:val="67D95099"/>
    <w:rsid w:val="67DD4B2A"/>
    <w:rsid w:val="67DE3617"/>
    <w:rsid w:val="67EB5499"/>
    <w:rsid w:val="67F211DB"/>
    <w:rsid w:val="68030ABA"/>
    <w:rsid w:val="68183DB4"/>
    <w:rsid w:val="681C38A5"/>
    <w:rsid w:val="68234FE3"/>
    <w:rsid w:val="68244440"/>
    <w:rsid w:val="682A2EDE"/>
    <w:rsid w:val="682E6C0B"/>
    <w:rsid w:val="683D6603"/>
    <w:rsid w:val="684052DC"/>
    <w:rsid w:val="68442D4A"/>
    <w:rsid w:val="685110EF"/>
    <w:rsid w:val="68560F53"/>
    <w:rsid w:val="685A73E4"/>
    <w:rsid w:val="685D407C"/>
    <w:rsid w:val="68602605"/>
    <w:rsid w:val="68617DC2"/>
    <w:rsid w:val="686739D9"/>
    <w:rsid w:val="686919B5"/>
    <w:rsid w:val="686D7703"/>
    <w:rsid w:val="68713621"/>
    <w:rsid w:val="68765D9F"/>
    <w:rsid w:val="687D2DBC"/>
    <w:rsid w:val="688218C0"/>
    <w:rsid w:val="68857813"/>
    <w:rsid w:val="6888718C"/>
    <w:rsid w:val="688D6550"/>
    <w:rsid w:val="689240F1"/>
    <w:rsid w:val="689618A9"/>
    <w:rsid w:val="68993147"/>
    <w:rsid w:val="68A00056"/>
    <w:rsid w:val="68A773F0"/>
    <w:rsid w:val="68AC741F"/>
    <w:rsid w:val="68B46638"/>
    <w:rsid w:val="68BA7BE7"/>
    <w:rsid w:val="68BB537D"/>
    <w:rsid w:val="68BB67A5"/>
    <w:rsid w:val="68C93B2D"/>
    <w:rsid w:val="68CC0CEA"/>
    <w:rsid w:val="68CE3188"/>
    <w:rsid w:val="68CF2FBC"/>
    <w:rsid w:val="68D14087"/>
    <w:rsid w:val="68DC5A56"/>
    <w:rsid w:val="68E00D76"/>
    <w:rsid w:val="68E57D0D"/>
    <w:rsid w:val="68EB1660"/>
    <w:rsid w:val="68EE4CA6"/>
    <w:rsid w:val="68FE744E"/>
    <w:rsid w:val="690802CD"/>
    <w:rsid w:val="690A2C1F"/>
    <w:rsid w:val="690A6338"/>
    <w:rsid w:val="69164798"/>
    <w:rsid w:val="691E364C"/>
    <w:rsid w:val="69263759"/>
    <w:rsid w:val="69310F92"/>
    <w:rsid w:val="69334574"/>
    <w:rsid w:val="693908C3"/>
    <w:rsid w:val="693C33F0"/>
    <w:rsid w:val="69454BFD"/>
    <w:rsid w:val="694A4441"/>
    <w:rsid w:val="694C640B"/>
    <w:rsid w:val="694F7CAA"/>
    <w:rsid w:val="695050D6"/>
    <w:rsid w:val="6972777B"/>
    <w:rsid w:val="69774C58"/>
    <w:rsid w:val="69831701"/>
    <w:rsid w:val="69847E83"/>
    <w:rsid w:val="698C5CD7"/>
    <w:rsid w:val="69925854"/>
    <w:rsid w:val="699B07BB"/>
    <w:rsid w:val="69A34C66"/>
    <w:rsid w:val="69A85F82"/>
    <w:rsid w:val="69B446FD"/>
    <w:rsid w:val="69B81CD3"/>
    <w:rsid w:val="69BD53C4"/>
    <w:rsid w:val="69C22F98"/>
    <w:rsid w:val="69C266CE"/>
    <w:rsid w:val="69C458D0"/>
    <w:rsid w:val="69C51C61"/>
    <w:rsid w:val="69C71994"/>
    <w:rsid w:val="69C96764"/>
    <w:rsid w:val="69D32689"/>
    <w:rsid w:val="69F05831"/>
    <w:rsid w:val="69F80981"/>
    <w:rsid w:val="69F820EF"/>
    <w:rsid w:val="69FA5025"/>
    <w:rsid w:val="6A033352"/>
    <w:rsid w:val="6A0A597F"/>
    <w:rsid w:val="6A0E57C0"/>
    <w:rsid w:val="6A190D63"/>
    <w:rsid w:val="6A24264D"/>
    <w:rsid w:val="6A243B64"/>
    <w:rsid w:val="6A2956E2"/>
    <w:rsid w:val="6A2B4273"/>
    <w:rsid w:val="6A2B6666"/>
    <w:rsid w:val="6A3053E5"/>
    <w:rsid w:val="6A310A46"/>
    <w:rsid w:val="6A3550F2"/>
    <w:rsid w:val="6A397604"/>
    <w:rsid w:val="6A3B77FB"/>
    <w:rsid w:val="6A3F0048"/>
    <w:rsid w:val="6A57129E"/>
    <w:rsid w:val="6A573945"/>
    <w:rsid w:val="6A5833ED"/>
    <w:rsid w:val="6A5F3F1C"/>
    <w:rsid w:val="6A652C4B"/>
    <w:rsid w:val="6A682DD1"/>
    <w:rsid w:val="6A6E23B2"/>
    <w:rsid w:val="6A6E53C2"/>
    <w:rsid w:val="6A6F7206"/>
    <w:rsid w:val="6A723C50"/>
    <w:rsid w:val="6A75729C"/>
    <w:rsid w:val="6A7C4ACE"/>
    <w:rsid w:val="6A7C6C35"/>
    <w:rsid w:val="6A842461"/>
    <w:rsid w:val="6A863AA6"/>
    <w:rsid w:val="6A87204C"/>
    <w:rsid w:val="6A8801EA"/>
    <w:rsid w:val="6A8D6B20"/>
    <w:rsid w:val="6A8E5CC1"/>
    <w:rsid w:val="6A9F1241"/>
    <w:rsid w:val="6AA42EB4"/>
    <w:rsid w:val="6AB57FE0"/>
    <w:rsid w:val="6ABB2200"/>
    <w:rsid w:val="6AC82F6E"/>
    <w:rsid w:val="6ACF2E50"/>
    <w:rsid w:val="6AD06BC8"/>
    <w:rsid w:val="6AD20B92"/>
    <w:rsid w:val="6AD771DA"/>
    <w:rsid w:val="6AE3151D"/>
    <w:rsid w:val="6AF02DC7"/>
    <w:rsid w:val="6AF11DB6"/>
    <w:rsid w:val="6AF1726A"/>
    <w:rsid w:val="6AF37E82"/>
    <w:rsid w:val="6B00618A"/>
    <w:rsid w:val="6B092180"/>
    <w:rsid w:val="6B096A8F"/>
    <w:rsid w:val="6B0C455A"/>
    <w:rsid w:val="6B0D6541"/>
    <w:rsid w:val="6B0E663F"/>
    <w:rsid w:val="6B15015E"/>
    <w:rsid w:val="6B161A42"/>
    <w:rsid w:val="6B1A5C73"/>
    <w:rsid w:val="6B221615"/>
    <w:rsid w:val="6B323A42"/>
    <w:rsid w:val="6B3633FA"/>
    <w:rsid w:val="6B3D5C2C"/>
    <w:rsid w:val="6B4337B2"/>
    <w:rsid w:val="6B450FE4"/>
    <w:rsid w:val="6B49575B"/>
    <w:rsid w:val="6B4C3091"/>
    <w:rsid w:val="6B513865"/>
    <w:rsid w:val="6B55564C"/>
    <w:rsid w:val="6B557947"/>
    <w:rsid w:val="6B593EA9"/>
    <w:rsid w:val="6B6402BB"/>
    <w:rsid w:val="6B710AA7"/>
    <w:rsid w:val="6B7C3A20"/>
    <w:rsid w:val="6B860732"/>
    <w:rsid w:val="6B8D173B"/>
    <w:rsid w:val="6B8E2D0B"/>
    <w:rsid w:val="6B9F6CC6"/>
    <w:rsid w:val="6BA74E9B"/>
    <w:rsid w:val="6BAB33B2"/>
    <w:rsid w:val="6BB32772"/>
    <w:rsid w:val="6BCC33B0"/>
    <w:rsid w:val="6BDD0ED0"/>
    <w:rsid w:val="6BE13068"/>
    <w:rsid w:val="6BED23B4"/>
    <w:rsid w:val="6BF25827"/>
    <w:rsid w:val="6BF47726"/>
    <w:rsid w:val="6C031400"/>
    <w:rsid w:val="6C03590A"/>
    <w:rsid w:val="6C0E79A8"/>
    <w:rsid w:val="6C0F104D"/>
    <w:rsid w:val="6C1E122B"/>
    <w:rsid w:val="6C2259B3"/>
    <w:rsid w:val="6C264CF2"/>
    <w:rsid w:val="6C2C7C79"/>
    <w:rsid w:val="6C320B4F"/>
    <w:rsid w:val="6C3A3066"/>
    <w:rsid w:val="6C3B4D1B"/>
    <w:rsid w:val="6C423AF6"/>
    <w:rsid w:val="6C441063"/>
    <w:rsid w:val="6C492B71"/>
    <w:rsid w:val="6C4B014D"/>
    <w:rsid w:val="6C550948"/>
    <w:rsid w:val="6C59222C"/>
    <w:rsid w:val="6C5B6BB7"/>
    <w:rsid w:val="6C641A68"/>
    <w:rsid w:val="6C694848"/>
    <w:rsid w:val="6C6F0FD8"/>
    <w:rsid w:val="6C7858DB"/>
    <w:rsid w:val="6C7A4246"/>
    <w:rsid w:val="6C7F6126"/>
    <w:rsid w:val="6C88775B"/>
    <w:rsid w:val="6C8B7F76"/>
    <w:rsid w:val="6C8D707D"/>
    <w:rsid w:val="6C9100CC"/>
    <w:rsid w:val="6C9F2D6D"/>
    <w:rsid w:val="6CC06CDA"/>
    <w:rsid w:val="6CC74C40"/>
    <w:rsid w:val="6CCC61EF"/>
    <w:rsid w:val="6CD22C1C"/>
    <w:rsid w:val="6CDA3D2E"/>
    <w:rsid w:val="6CDE737B"/>
    <w:rsid w:val="6CE84689"/>
    <w:rsid w:val="6CEC3DF2"/>
    <w:rsid w:val="6CF05B82"/>
    <w:rsid w:val="6CF939E7"/>
    <w:rsid w:val="6D0060DB"/>
    <w:rsid w:val="6D0B73B8"/>
    <w:rsid w:val="6D1713C6"/>
    <w:rsid w:val="6D1859BB"/>
    <w:rsid w:val="6D1F0A97"/>
    <w:rsid w:val="6D225F70"/>
    <w:rsid w:val="6D2261AD"/>
    <w:rsid w:val="6D237483"/>
    <w:rsid w:val="6D2F273C"/>
    <w:rsid w:val="6D414834"/>
    <w:rsid w:val="6D433A29"/>
    <w:rsid w:val="6D4A0EB4"/>
    <w:rsid w:val="6D546BFC"/>
    <w:rsid w:val="6D55362C"/>
    <w:rsid w:val="6D58732B"/>
    <w:rsid w:val="6D6103FD"/>
    <w:rsid w:val="6D626803"/>
    <w:rsid w:val="6D6E7C26"/>
    <w:rsid w:val="6D757626"/>
    <w:rsid w:val="6D7A5C91"/>
    <w:rsid w:val="6D7F2E4E"/>
    <w:rsid w:val="6D7F44F4"/>
    <w:rsid w:val="6D913AEE"/>
    <w:rsid w:val="6D925BDE"/>
    <w:rsid w:val="6D9833A4"/>
    <w:rsid w:val="6DA90CDA"/>
    <w:rsid w:val="6DB142F6"/>
    <w:rsid w:val="6DBB2EFC"/>
    <w:rsid w:val="6DCD4E36"/>
    <w:rsid w:val="6DCE5641"/>
    <w:rsid w:val="6DDA1142"/>
    <w:rsid w:val="6DE04B94"/>
    <w:rsid w:val="6DE51493"/>
    <w:rsid w:val="6DE63EAB"/>
    <w:rsid w:val="6DF40923"/>
    <w:rsid w:val="6DF746E7"/>
    <w:rsid w:val="6E005697"/>
    <w:rsid w:val="6E13224B"/>
    <w:rsid w:val="6E1B63AC"/>
    <w:rsid w:val="6E1D0376"/>
    <w:rsid w:val="6E272FA3"/>
    <w:rsid w:val="6E3008D5"/>
    <w:rsid w:val="6E380F1B"/>
    <w:rsid w:val="6E404976"/>
    <w:rsid w:val="6E4A0417"/>
    <w:rsid w:val="6E4B4966"/>
    <w:rsid w:val="6E4C0C5C"/>
    <w:rsid w:val="6E62222D"/>
    <w:rsid w:val="6E6251EE"/>
    <w:rsid w:val="6E6562A3"/>
    <w:rsid w:val="6E6C437D"/>
    <w:rsid w:val="6E6D099C"/>
    <w:rsid w:val="6E7F4B8D"/>
    <w:rsid w:val="6E8328DA"/>
    <w:rsid w:val="6E8459FB"/>
    <w:rsid w:val="6E8916F1"/>
    <w:rsid w:val="6E8B1784"/>
    <w:rsid w:val="6E8C2E06"/>
    <w:rsid w:val="6E960387"/>
    <w:rsid w:val="6E962BCE"/>
    <w:rsid w:val="6E980FDD"/>
    <w:rsid w:val="6E990321"/>
    <w:rsid w:val="6EA13EB1"/>
    <w:rsid w:val="6EAB1BA3"/>
    <w:rsid w:val="6EAC7BBF"/>
    <w:rsid w:val="6EB86183"/>
    <w:rsid w:val="6EBB5AF7"/>
    <w:rsid w:val="6EC627BC"/>
    <w:rsid w:val="6EC66F19"/>
    <w:rsid w:val="6ED716C5"/>
    <w:rsid w:val="6EDD199F"/>
    <w:rsid w:val="6EE26575"/>
    <w:rsid w:val="6EE55992"/>
    <w:rsid w:val="6EE74961"/>
    <w:rsid w:val="6EF50E8E"/>
    <w:rsid w:val="6EF75F0D"/>
    <w:rsid w:val="6F0B2868"/>
    <w:rsid w:val="6F0F7EB1"/>
    <w:rsid w:val="6F190EE1"/>
    <w:rsid w:val="6F194890"/>
    <w:rsid w:val="6F2A56DF"/>
    <w:rsid w:val="6F327DCE"/>
    <w:rsid w:val="6F3768AF"/>
    <w:rsid w:val="6F3D0D44"/>
    <w:rsid w:val="6F4044CB"/>
    <w:rsid w:val="6F4162E7"/>
    <w:rsid w:val="6F49773A"/>
    <w:rsid w:val="6F4F6F20"/>
    <w:rsid w:val="6F512FFB"/>
    <w:rsid w:val="6F5A79E5"/>
    <w:rsid w:val="6F600FCD"/>
    <w:rsid w:val="6F6049BF"/>
    <w:rsid w:val="6F624085"/>
    <w:rsid w:val="6F690512"/>
    <w:rsid w:val="6F6908DC"/>
    <w:rsid w:val="6F6A00D2"/>
    <w:rsid w:val="6F6F075E"/>
    <w:rsid w:val="6F6F5430"/>
    <w:rsid w:val="6F783EA3"/>
    <w:rsid w:val="6F7A7103"/>
    <w:rsid w:val="6F7F6322"/>
    <w:rsid w:val="6F865AA7"/>
    <w:rsid w:val="6F8E1B49"/>
    <w:rsid w:val="6F9570F5"/>
    <w:rsid w:val="6F9C21FD"/>
    <w:rsid w:val="6F9F65E6"/>
    <w:rsid w:val="6FA8066D"/>
    <w:rsid w:val="6FAC2419"/>
    <w:rsid w:val="6FB10B42"/>
    <w:rsid w:val="6FD237C2"/>
    <w:rsid w:val="6FDD014E"/>
    <w:rsid w:val="6FDE58E3"/>
    <w:rsid w:val="6FDE7692"/>
    <w:rsid w:val="6FE01F81"/>
    <w:rsid w:val="6FE10993"/>
    <w:rsid w:val="6FE34560"/>
    <w:rsid w:val="6FE876F4"/>
    <w:rsid w:val="6FF234FB"/>
    <w:rsid w:val="6FF606BC"/>
    <w:rsid w:val="6FFE1AE2"/>
    <w:rsid w:val="6FFE255D"/>
    <w:rsid w:val="70051766"/>
    <w:rsid w:val="700B4F3C"/>
    <w:rsid w:val="700C73C4"/>
    <w:rsid w:val="700E61C9"/>
    <w:rsid w:val="700F114A"/>
    <w:rsid w:val="70110392"/>
    <w:rsid w:val="7011370E"/>
    <w:rsid w:val="701C3816"/>
    <w:rsid w:val="702242B9"/>
    <w:rsid w:val="702A28D7"/>
    <w:rsid w:val="702F4391"/>
    <w:rsid w:val="70373183"/>
    <w:rsid w:val="703A2E2A"/>
    <w:rsid w:val="70424796"/>
    <w:rsid w:val="70464A37"/>
    <w:rsid w:val="704C0A9F"/>
    <w:rsid w:val="705D2825"/>
    <w:rsid w:val="705F3F80"/>
    <w:rsid w:val="706B361B"/>
    <w:rsid w:val="706C70C4"/>
    <w:rsid w:val="706D67E4"/>
    <w:rsid w:val="706F09A5"/>
    <w:rsid w:val="707C1B00"/>
    <w:rsid w:val="70893D8E"/>
    <w:rsid w:val="709B26D2"/>
    <w:rsid w:val="709E4AA2"/>
    <w:rsid w:val="70A43963"/>
    <w:rsid w:val="70A63403"/>
    <w:rsid w:val="70AB0A1B"/>
    <w:rsid w:val="70AB3A18"/>
    <w:rsid w:val="70AC0989"/>
    <w:rsid w:val="70B5272A"/>
    <w:rsid w:val="70B80895"/>
    <w:rsid w:val="70BC3E77"/>
    <w:rsid w:val="70C26A70"/>
    <w:rsid w:val="70C44374"/>
    <w:rsid w:val="70C944C6"/>
    <w:rsid w:val="70CB3338"/>
    <w:rsid w:val="70CD2AAF"/>
    <w:rsid w:val="70D02912"/>
    <w:rsid w:val="70D029F7"/>
    <w:rsid w:val="70D55D1E"/>
    <w:rsid w:val="70EB2252"/>
    <w:rsid w:val="70EF5FB8"/>
    <w:rsid w:val="70FE56D0"/>
    <w:rsid w:val="71023CC7"/>
    <w:rsid w:val="71062D9A"/>
    <w:rsid w:val="71115BC0"/>
    <w:rsid w:val="71205BD9"/>
    <w:rsid w:val="71252D62"/>
    <w:rsid w:val="71296525"/>
    <w:rsid w:val="712C5640"/>
    <w:rsid w:val="712F457F"/>
    <w:rsid w:val="7134053E"/>
    <w:rsid w:val="71347EB1"/>
    <w:rsid w:val="713C1108"/>
    <w:rsid w:val="713D7332"/>
    <w:rsid w:val="71404612"/>
    <w:rsid w:val="714266F2"/>
    <w:rsid w:val="71467272"/>
    <w:rsid w:val="7150636D"/>
    <w:rsid w:val="715406CF"/>
    <w:rsid w:val="716416C0"/>
    <w:rsid w:val="71680576"/>
    <w:rsid w:val="71693EC9"/>
    <w:rsid w:val="716D6F1F"/>
    <w:rsid w:val="71734B7E"/>
    <w:rsid w:val="71775751"/>
    <w:rsid w:val="717A5D0B"/>
    <w:rsid w:val="717A6602"/>
    <w:rsid w:val="717C3EBC"/>
    <w:rsid w:val="71924FC1"/>
    <w:rsid w:val="719321B0"/>
    <w:rsid w:val="71946E3E"/>
    <w:rsid w:val="7194790B"/>
    <w:rsid w:val="71A16BFB"/>
    <w:rsid w:val="71A32A32"/>
    <w:rsid w:val="71A716D6"/>
    <w:rsid w:val="71AD446E"/>
    <w:rsid w:val="71AE0A56"/>
    <w:rsid w:val="71AF7537"/>
    <w:rsid w:val="71B303CB"/>
    <w:rsid w:val="71B37F2F"/>
    <w:rsid w:val="71B66B18"/>
    <w:rsid w:val="71BB5528"/>
    <w:rsid w:val="71BE6305"/>
    <w:rsid w:val="71BF4550"/>
    <w:rsid w:val="71C0611D"/>
    <w:rsid w:val="71C06C57"/>
    <w:rsid w:val="71C305F9"/>
    <w:rsid w:val="71C71F66"/>
    <w:rsid w:val="71D339DA"/>
    <w:rsid w:val="71E14292"/>
    <w:rsid w:val="71E32EE1"/>
    <w:rsid w:val="71F31CE4"/>
    <w:rsid w:val="71FA2912"/>
    <w:rsid w:val="71FD4747"/>
    <w:rsid w:val="71FE10F9"/>
    <w:rsid w:val="720B2BA9"/>
    <w:rsid w:val="721675B7"/>
    <w:rsid w:val="721F290F"/>
    <w:rsid w:val="721F4C48"/>
    <w:rsid w:val="72275320"/>
    <w:rsid w:val="72286517"/>
    <w:rsid w:val="723008F7"/>
    <w:rsid w:val="72353150"/>
    <w:rsid w:val="7238577F"/>
    <w:rsid w:val="723A216C"/>
    <w:rsid w:val="723F6B0D"/>
    <w:rsid w:val="724A3704"/>
    <w:rsid w:val="72532414"/>
    <w:rsid w:val="725325B9"/>
    <w:rsid w:val="72545223"/>
    <w:rsid w:val="725F5A47"/>
    <w:rsid w:val="727033C9"/>
    <w:rsid w:val="72712B55"/>
    <w:rsid w:val="7271660E"/>
    <w:rsid w:val="72770F96"/>
    <w:rsid w:val="728A047F"/>
    <w:rsid w:val="7295360C"/>
    <w:rsid w:val="72966FE2"/>
    <w:rsid w:val="729B5E04"/>
    <w:rsid w:val="72AD517D"/>
    <w:rsid w:val="72B400F0"/>
    <w:rsid w:val="72B55021"/>
    <w:rsid w:val="72BD7A32"/>
    <w:rsid w:val="72C76B03"/>
    <w:rsid w:val="72D777C0"/>
    <w:rsid w:val="72DF7354"/>
    <w:rsid w:val="72E13F34"/>
    <w:rsid w:val="72F35B4A"/>
    <w:rsid w:val="72F505B4"/>
    <w:rsid w:val="73034F47"/>
    <w:rsid w:val="73046344"/>
    <w:rsid w:val="730D23D9"/>
    <w:rsid w:val="73125BD0"/>
    <w:rsid w:val="7315161C"/>
    <w:rsid w:val="731B33E6"/>
    <w:rsid w:val="731C4D24"/>
    <w:rsid w:val="73247FFB"/>
    <w:rsid w:val="7326481D"/>
    <w:rsid w:val="732B5CBA"/>
    <w:rsid w:val="732D012F"/>
    <w:rsid w:val="73300BFE"/>
    <w:rsid w:val="73337CF4"/>
    <w:rsid w:val="733C707A"/>
    <w:rsid w:val="73412411"/>
    <w:rsid w:val="7343440F"/>
    <w:rsid w:val="7344204E"/>
    <w:rsid w:val="73443518"/>
    <w:rsid w:val="73530396"/>
    <w:rsid w:val="735F0AE9"/>
    <w:rsid w:val="736E693B"/>
    <w:rsid w:val="736F1DDF"/>
    <w:rsid w:val="736F69CD"/>
    <w:rsid w:val="737D110D"/>
    <w:rsid w:val="73847F33"/>
    <w:rsid w:val="738B16EF"/>
    <w:rsid w:val="738F4C25"/>
    <w:rsid w:val="7390357B"/>
    <w:rsid w:val="73A12584"/>
    <w:rsid w:val="73A65755"/>
    <w:rsid w:val="73A919E7"/>
    <w:rsid w:val="73B3159D"/>
    <w:rsid w:val="73B65B25"/>
    <w:rsid w:val="73BC0208"/>
    <w:rsid w:val="73C01B5C"/>
    <w:rsid w:val="73CF274F"/>
    <w:rsid w:val="73D770FA"/>
    <w:rsid w:val="73DE3768"/>
    <w:rsid w:val="73E03432"/>
    <w:rsid w:val="73E06262"/>
    <w:rsid w:val="73E1386A"/>
    <w:rsid w:val="73E571DB"/>
    <w:rsid w:val="73E85F3D"/>
    <w:rsid w:val="73E86892"/>
    <w:rsid w:val="73ED1112"/>
    <w:rsid w:val="73F077D7"/>
    <w:rsid w:val="73F444D6"/>
    <w:rsid w:val="73FD6F4B"/>
    <w:rsid w:val="73FF5A2C"/>
    <w:rsid w:val="740C55AE"/>
    <w:rsid w:val="740E6AF6"/>
    <w:rsid w:val="74133895"/>
    <w:rsid w:val="74190EEF"/>
    <w:rsid w:val="741B7FAA"/>
    <w:rsid w:val="741C74EF"/>
    <w:rsid w:val="74211C6B"/>
    <w:rsid w:val="74223E50"/>
    <w:rsid w:val="7428537F"/>
    <w:rsid w:val="742F4A95"/>
    <w:rsid w:val="743135AF"/>
    <w:rsid w:val="74317CBD"/>
    <w:rsid w:val="743B3304"/>
    <w:rsid w:val="74433DAD"/>
    <w:rsid w:val="7448202A"/>
    <w:rsid w:val="745B7503"/>
    <w:rsid w:val="746B4C2A"/>
    <w:rsid w:val="747405C4"/>
    <w:rsid w:val="74796361"/>
    <w:rsid w:val="74814A1E"/>
    <w:rsid w:val="74820F33"/>
    <w:rsid w:val="74926F9E"/>
    <w:rsid w:val="74983979"/>
    <w:rsid w:val="74A33441"/>
    <w:rsid w:val="74A64260"/>
    <w:rsid w:val="74A8119F"/>
    <w:rsid w:val="74A938AC"/>
    <w:rsid w:val="74B27E8F"/>
    <w:rsid w:val="74C11D32"/>
    <w:rsid w:val="74C7103C"/>
    <w:rsid w:val="74CB5D75"/>
    <w:rsid w:val="74D33601"/>
    <w:rsid w:val="74D4575B"/>
    <w:rsid w:val="74DC108F"/>
    <w:rsid w:val="74E32908"/>
    <w:rsid w:val="74E66D1F"/>
    <w:rsid w:val="74F122C8"/>
    <w:rsid w:val="74F15B54"/>
    <w:rsid w:val="74F7612F"/>
    <w:rsid w:val="75142ECB"/>
    <w:rsid w:val="751E0D55"/>
    <w:rsid w:val="752C4458"/>
    <w:rsid w:val="752C7F6F"/>
    <w:rsid w:val="752D5343"/>
    <w:rsid w:val="753728BD"/>
    <w:rsid w:val="75390472"/>
    <w:rsid w:val="753A22A1"/>
    <w:rsid w:val="75454B0D"/>
    <w:rsid w:val="754B3A1B"/>
    <w:rsid w:val="754F36EA"/>
    <w:rsid w:val="75501031"/>
    <w:rsid w:val="75577701"/>
    <w:rsid w:val="755A5D78"/>
    <w:rsid w:val="755C12EA"/>
    <w:rsid w:val="7565476A"/>
    <w:rsid w:val="756D573F"/>
    <w:rsid w:val="75817D0E"/>
    <w:rsid w:val="758B206A"/>
    <w:rsid w:val="758E6A1A"/>
    <w:rsid w:val="759415EF"/>
    <w:rsid w:val="75A06591"/>
    <w:rsid w:val="75A82C1C"/>
    <w:rsid w:val="75AD4AC9"/>
    <w:rsid w:val="75AF5D58"/>
    <w:rsid w:val="75B6202C"/>
    <w:rsid w:val="75C76C9B"/>
    <w:rsid w:val="75D3556D"/>
    <w:rsid w:val="75D454B0"/>
    <w:rsid w:val="75DE0089"/>
    <w:rsid w:val="75E160A8"/>
    <w:rsid w:val="75E26DF4"/>
    <w:rsid w:val="75E63744"/>
    <w:rsid w:val="75E8126A"/>
    <w:rsid w:val="75E97A87"/>
    <w:rsid w:val="76012C55"/>
    <w:rsid w:val="760137DA"/>
    <w:rsid w:val="760460BF"/>
    <w:rsid w:val="76167AC9"/>
    <w:rsid w:val="76171B4F"/>
    <w:rsid w:val="76180C77"/>
    <w:rsid w:val="76185319"/>
    <w:rsid w:val="762229CE"/>
    <w:rsid w:val="76300C1B"/>
    <w:rsid w:val="763132A2"/>
    <w:rsid w:val="76357092"/>
    <w:rsid w:val="763734A6"/>
    <w:rsid w:val="763B2C67"/>
    <w:rsid w:val="76472636"/>
    <w:rsid w:val="764C3364"/>
    <w:rsid w:val="764D0631"/>
    <w:rsid w:val="765209F1"/>
    <w:rsid w:val="765446D9"/>
    <w:rsid w:val="765644F4"/>
    <w:rsid w:val="76670872"/>
    <w:rsid w:val="767C17C5"/>
    <w:rsid w:val="76830AF0"/>
    <w:rsid w:val="76841482"/>
    <w:rsid w:val="768C1BD5"/>
    <w:rsid w:val="768D5B04"/>
    <w:rsid w:val="76920251"/>
    <w:rsid w:val="7692409F"/>
    <w:rsid w:val="76924844"/>
    <w:rsid w:val="769323D1"/>
    <w:rsid w:val="76941EA3"/>
    <w:rsid w:val="769907B6"/>
    <w:rsid w:val="769A4203"/>
    <w:rsid w:val="769D4A3B"/>
    <w:rsid w:val="76A4354A"/>
    <w:rsid w:val="76A437CB"/>
    <w:rsid w:val="76AA0B6D"/>
    <w:rsid w:val="76B155FC"/>
    <w:rsid w:val="76BC36B8"/>
    <w:rsid w:val="76C36688"/>
    <w:rsid w:val="76C50724"/>
    <w:rsid w:val="76C54196"/>
    <w:rsid w:val="76D174A1"/>
    <w:rsid w:val="76E76A79"/>
    <w:rsid w:val="76E9529A"/>
    <w:rsid w:val="76EE4FBB"/>
    <w:rsid w:val="76F93BEC"/>
    <w:rsid w:val="76FD231F"/>
    <w:rsid w:val="77001101"/>
    <w:rsid w:val="77023CB4"/>
    <w:rsid w:val="770245AD"/>
    <w:rsid w:val="770420D4"/>
    <w:rsid w:val="77147E3D"/>
    <w:rsid w:val="77214C09"/>
    <w:rsid w:val="77297D8C"/>
    <w:rsid w:val="772D449F"/>
    <w:rsid w:val="77304C77"/>
    <w:rsid w:val="773724A9"/>
    <w:rsid w:val="773D7394"/>
    <w:rsid w:val="77437A18"/>
    <w:rsid w:val="774D2439"/>
    <w:rsid w:val="774F1A82"/>
    <w:rsid w:val="77567428"/>
    <w:rsid w:val="775E49A7"/>
    <w:rsid w:val="775F5695"/>
    <w:rsid w:val="776029F4"/>
    <w:rsid w:val="77646CAE"/>
    <w:rsid w:val="77663879"/>
    <w:rsid w:val="776931DB"/>
    <w:rsid w:val="776F5529"/>
    <w:rsid w:val="77702A96"/>
    <w:rsid w:val="777D59E2"/>
    <w:rsid w:val="777D6C13"/>
    <w:rsid w:val="77813724"/>
    <w:rsid w:val="778824A1"/>
    <w:rsid w:val="778B00FF"/>
    <w:rsid w:val="77A7677D"/>
    <w:rsid w:val="77A957A6"/>
    <w:rsid w:val="77AD3D96"/>
    <w:rsid w:val="77BB39E0"/>
    <w:rsid w:val="77C35AEB"/>
    <w:rsid w:val="77C4430A"/>
    <w:rsid w:val="77C460AF"/>
    <w:rsid w:val="77C60856"/>
    <w:rsid w:val="77CD0BFE"/>
    <w:rsid w:val="77D10B21"/>
    <w:rsid w:val="77E56954"/>
    <w:rsid w:val="77E60BEE"/>
    <w:rsid w:val="77E912C9"/>
    <w:rsid w:val="77F32566"/>
    <w:rsid w:val="77F739E6"/>
    <w:rsid w:val="77FE5A01"/>
    <w:rsid w:val="77FF079C"/>
    <w:rsid w:val="7802071B"/>
    <w:rsid w:val="7806120A"/>
    <w:rsid w:val="780B7F2C"/>
    <w:rsid w:val="780F0B99"/>
    <w:rsid w:val="78127A5B"/>
    <w:rsid w:val="7819395D"/>
    <w:rsid w:val="781B3CA7"/>
    <w:rsid w:val="781E0F73"/>
    <w:rsid w:val="78226706"/>
    <w:rsid w:val="782931C1"/>
    <w:rsid w:val="782D168C"/>
    <w:rsid w:val="783704D2"/>
    <w:rsid w:val="783A2152"/>
    <w:rsid w:val="783A38D3"/>
    <w:rsid w:val="7846475B"/>
    <w:rsid w:val="784758CC"/>
    <w:rsid w:val="784B249D"/>
    <w:rsid w:val="785A6A00"/>
    <w:rsid w:val="787B7F9D"/>
    <w:rsid w:val="787C3BDA"/>
    <w:rsid w:val="788200E0"/>
    <w:rsid w:val="78837044"/>
    <w:rsid w:val="788404D5"/>
    <w:rsid w:val="788E52F8"/>
    <w:rsid w:val="789B6A68"/>
    <w:rsid w:val="789F47B1"/>
    <w:rsid w:val="78AC1784"/>
    <w:rsid w:val="78AD0089"/>
    <w:rsid w:val="78AD5009"/>
    <w:rsid w:val="78AF170A"/>
    <w:rsid w:val="78B05614"/>
    <w:rsid w:val="78B7333D"/>
    <w:rsid w:val="78C46C7C"/>
    <w:rsid w:val="78C63EE3"/>
    <w:rsid w:val="78C82E62"/>
    <w:rsid w:val="78CD2BDF"/>
    <w:rsid w:val="78D639AD"/>
    <w:rsid w:val="78D9133E"/>
    <w:rsid w:val="78DB2CDA"/>
    <w:rsid w:val="78F40AC5"/>
    <w:rsid w:val="78FF5C8E"/>
    <w:rsid w:val="79070351"/>
    <w:rsid w:val="7908581D"/>
    <w:rsid w:val="790B294E"/>
    <w:rsid w:val="792425D6"/>
    <w:rsid w:val="79276712"/>
    <w:rsid w:val="794112AB"/>
    <w:rsid w:val="794B4F17"/>
    <w:rsid w:val="79516E1B"/>
    <w:rsid w:val="7954274F"/>
    <w:rsid w:val="795B78D3"/>
    <w:rsid w:val="79607369"/>
    <w:rsid w:val="79663DB8"/>
    <w:rsid w:val="79694470"/>
    <w:rsid w:val="796B70BA"/>
    <w:rsid w:val="796E678F"/>
    <w:rsid w:val="797029C8"/>
    <w:rsid w:val="79782905"/>
    <w:rsid w:val="79814257"/>
    <w:rsid w:val="7984442B"/>
    <w:rsid w:val="79846FC4"/>
    <w:rsid w:val="79866950"/>
    <w:rsid w:val="799521CC"/>
    <w:rsid w:val="79953319"/>
    <w:rsid w:val="79972D3D"/>
    <w:rsid w:val="7999366C"/>
    <w:rsid w:val="79A363AD"/>
    <w:rsid w:val="79A46626"/>
    <w:rsid w:val="79A66416"/>
    <w:rsid w:val="79B67D47"/>
    <w:rsid w:val="79BB59AC"/>
    <w:rsid w:val="79BC72C3"/>
    <w:rsid w:val="79C93160"/>
    <w:rsid w:val="79CB2F85"/>
    <w:rsid w:val="79CD6A07"/>
    <w:rsid w:val="79D416AC"/>
    <w:rsid w:val="79DF46E3"/>
    <w:rsid w:val="79DF51A1"/>
    <w:rsid w:val="79E07390"/>
    <w:rsid w:val="79EF0BCC"/>
    <w:rsid w:val="79F521A7"/>
    <w:rsid w:val="79F62705"/>
    <w:rsid w:val="79FB3396"/>
    <w:rsid w:val="79FB7128"/>
    <w:rsid w:val="7A064948"/>
    <w:rsid w:val="7A1776B2"/>
    <w:rsid w:val="7A19224F"/>
    <w:rsid w:val="7A3864FA"/>
    <w:rsid w:val="7A471133"/>
    <w:rsid w:val="7A4B0EFF"/>
    <w:rsid w:val="7A513882"/>
    <w:rsid w:val="7A5F5C00"/>
    <w:rsid w:val="7A626BDA"/>
    <w:rsid w:val="7A6E5804"/>
    <w:rsid w:val="7A6F443F"/>
    <w:rsid w:val="7A740704"/>
    <w:rsid w:val="7A7E76ED"/>
    <w:rsid w:val="7A7F1A71"/>
    <w:rsid w:val="7A807CC3"/>
    <w:rsid w:val="7A826E9B"/>
    <w:rsid w:val="7A97500D"/>
    <w:rsid w:val="7AA00365"/>
    <w:rsid w:val="7AA82BCF"/>
    <w:rsid w:val="7AB164BA"/>
    <w:rsid w:val="7AB45046"/>
    <w:rsid w:val="7AB4796D"/>
    <w:rsid w:val="7ABB6F4D"/>
    <w:rsid w:val="7AC35E02"/>
    <w:rsid w:val="7AC607AA"/>
    <w:rsid w:val="7AC6586D"/>
    <w:rsid w:val="7AC83418"/>
    <w:rsid w:val="7AC95B38"/>
    <w:rsid w:val="7ACB6A2B"/>
    <w:rsid w:val="7ADC15A8"/>
    <w:rsid w:val="7ADE720E"/>
    <w:rsid w:val="7ADF16B7"/>
    <w:rsid w:val="7AE012DB"/>
    <w:rsid w:val="7AE3749E"/>
    <w:rsid w:val="7AE83ABA"/>
    <w:rsid w:val="7AE85D60"/>
    <w:rsid w:val="7AE96C04"/>
    <w:rsid w:val="7AED4F2A"/>
    <w:rsid w:val="7AED79DF"/>
    <w:rsid w:val="7AEF769B"/>
    <w:rsid w:val="7AF932B8"/>
    <w:rsid w:val="7AFA0DA9"/>
    <w:rsid w:val="7AFE3DF7"/>
    <w:rsid w:val="7B000AAF"/>
    <w:rsid w:val="7B0042A3"/>
    <w:rsid w:val="7B044849"/>
    <w:rsid w:val="7B094295"/>
    <w:rsid w:val="7B1F6053"/>
    <w:rsid w:val="7B2D2558"/>
    <w:rsid w:val="7B3353B2"/>
    <w:rsid w:val="7B34570A"/>
    <w:rsid w:val="7B38645D"/>
    <w:rsid w:val="7B407026"/>
    <w:rsid w:val="7B4231CA"/>
    <w:rsid w:val="7B45486A"/>
    <w:rsid w:val="7B455D7D"/>
    <w:rsid w:val="7B494AD5"/>
    <w:rsid w:val="7B4B58E1"/>
    <w:rsid w:val="7B4E35CB"/>
    <w:rsid w:val="7B4F1153"/>
    <w:rsid w:val="7B510B0C"/>
    <w:rsid w:val="7B523A34"/>
    <w:rsid w:val="7B594436"/>
    <w:rsid w:val="7B5B1C60"/>
    <w:rsid w:val="7B630A59"/>
    <w:rsid w:val="7B686ABF"/>
    <w:rsid w:val="7B6F2EB5"/>
    <w:rsid w:val="7B71658E"/>
    <w:rsid w:val="7B781185"/>
    <w:rsid w:val="7B783144"/>
    <w:rsid w:val="7B8A02DB"/>
    <w:rsid w:val="7B974C50"/>
    <w:rsid w:val="7B9761B9"/>
    <w:rsid w:val="7B9C3B63"/>
    <w:rsid w:val="7B9D2AF7"/>
    <w:rsid w:val="7B9E52B5"/>
    <w:rsid w:val="7BAB5214"/>
    <w:rsid w:val="7BAC4AE8"/>
    <w:rsid w:val="7BB023BD"/>
    <w:rsid w:val="7BBE2D46"/>
    <w:rsid w:val="7BC10547"/>
    <w:rsid w:val="7BC20007"/>
    <w:rsid w:val="7BD52290"/>
    <w:rsid w:val="7BD55DED"/>
    <w:rsid w:val="7BE039AC"/>
    <w:rsid w:val="7BE548E9"/>
    <w:rsid w:val="7BE85773"/>
    <w:rsid w:val="7BF165E3"/>
    <w:rsid w:val="7BF85F96"/>
    <w:rsid w:val="7BFC44A0"/>
    <w:rsid w:val="7C016BE2"/>
    <w:rsid w:val="7C032E28"/>
    <w:rsid w:val="7C044121"/>
    <w:rsid w:val="7C047BE0"/>
    <w:rsid w:val="7C097E5A"/>
    <w:rsid w:val="7C13411E"/>
    <w:rsid w:val="7C226705"/>
    <w:rsid w:val="7C233329"/>
    <w:rsid w:val="7C2F5B0C"/>
    <w:rsid w:val="7C3243DC"/>
    <w:rsid w:val="7C33646E"/>
    <w:rsid w:val="7C3F0E9C"/>
    <w:rsid w:val="7C43544C"/>
    <w:rsid w:val="7C445815"/>
    <w:rsid w:val="7C4B3C7F"/>
    <w:rsid w:val="7C503ED9"/>
    <w:rsid w:val="7C51100E"/>
    <w:rsid w:val="7C522AAC"/>
    <w:rsid w:val="7C537362"/>
    <w:rsid w:val="7C543DC8"/>
    <w:rsid w:val="7C5E2A39"/>
    <w:rsid w:val="7C6A0C2B"/>
    <w:rsid w:val="7C7236F4"/>
    <w:rsid w:val="7C726398"/>
    <w:rsid w:val="7C823A5E"/>
    <w:rsid w:val="7C8810B1"/>
    <w:rsid w:val="7C8C2644"/>
    <w:rsid w:val="7C8F0691"/>
    <w:rsid w:val="7C9B6683"/>
    <w:rsid w:val="7C9B6AAB"/>
    <w:rsid w:val="7CA40360"/>
    <w:rsid w:val="7CA96EED"/>
    <w:rsid w:val="7CAA54CB"/>
    <w:rsid w:val="7CAB7A1B"/>
    <w:rsid w:val="7CB84B9E"/>
    <w:rsid w:val="7CB974BC"/>
    <w:rsid w:val="7CC439BC"/>
    <w:rsid w:val="7CC64128"/>
    <w:rsid w:val="7CC800BC"/>
    <w:rsid w:val="7CCB004F"/>
    <w:rsid w:val="7CCD2F68"/>
    <w:rsid w:val="7CCF0A8E"/>
    <w:rsid w:val="7CD2057E"/>
    <w:rsid w:val="7CD730FB"/>
    <w:rsid w:val="7CE44045"/>
    <w:rsid w:val="7CED15DD"/>
    <w:rsid w:val="7CF15B8F"/>
    <w:rsid w:val="7CF85835"/>
    <w:rsid w:val="7CFB5C42"/>
    <w:rsid w:val="7D060228"/>
    <w:rsid w:val="7D0821A1"/>
    <w:rsid w:val="7D0A41BC"/>
    <w:rsid w:val="7D0C5C74"/>
    <w:rsid w:val="7D195819"/>
    <w:rsid w:val="7D251586"/>
    <w:rsid w:val="7D252DA4"/>
    <w:rsid w:val="7D254B52"/>
    <w:rsid w:val="7D347DE2"/>
    <w:rsid w:val="7D3518BE"/>
    <w:rsid w:val="7D3848F9"/>
    <w:rsid w:val="7D3C3D56"/>
    <w:rsid w:val="7D4122AB"/>
    <w:rsid w:val="7D4477A7"/>
    <w:rsid w:val="7D4520AE"/>
    <w:rsid w:val="7D4960A3"/>
    <w:rsid w:val="7D4B54DA"/>
    <w:rsid w:val="7D4C254B"/>
    <w:rsid w:val="7D5272F4"/>
    <w:rsid w:val="7D5E55BD"/>
    <w:rsid w:val="7D606960"/>
    <w:rsid w:val="7D636D99"/>
    <w:rsid w:val="7D647782"/>
    <w:rsid w:val="7D65550B"/>
    <w:rsid w:val="7D6C7981"/>
    <w:rsid w:val="7D6E1F62"/>
    <w:rsid w:val="7D7E2147"/>
    <w:rsid w:val="7D845D1C"/>
    <w:rsid w:val="7D8D4934"/>
    <w:rsid w:val="7DA06444"/>
    <w:rsid w:val="7DA83D18"/>
    <w:rsid w:val="7DAC1993"/>
    <w:rsid w:val="7DAF1A98"/>
    <w:rsid w:val="7DB36193"/>
    <w:rsid w:val="7DB43468"/>
    <w:rsid w:val="7DB67D7A"/>
    <w:rsid w:val="7DBD5DFD"/>
    <w:rsid w:val="7DCA1928"/>
    <w:rsid w:val="7DCB56F9"/>
    <w:rsid w:val="7DCD7A95"/>
    <w:rsid w:val="7DD12804"/>
    <w:rsid w:val="7DDA593C"/>
    <w:rsid w:val="7DDB3462"/>
    <w:rsid w:val="7DDF69DF"/>
    <w:rsid w:val="7DE40569"/>
    <w:rsid w:val="7DF02456"/>
    <w:rsid w:val="7DF10C89"/>
    <w:rsid w:val="7DF32EA2"/>
    <w:rsid w:val="7DF34B1A"/>
    <w:rsid w:val="7DF55B58"/>
    <w:rsid w:val="7DF76D4C"/>
    <w:rsid w:val="7DF877A2"/>
    <w:rsid w:val="7E066731"/>
    <w:rsid w:val="7E0906B9"/>
    <w:rsid w:val="7E1A3F8B"/>
    <w:rsid w:val="7E21320A"/>
    <w:rsid w:val="7E2F5E46"/>
    <w:rsid w:val="7E357152"/>
    <w:rsid w:val="7E3A3355"/>
    <w:rsid w:val="7E403E0E"/>
    <w:rsid w:val="7E49583A"/>
    <w:rsid w:val="7E4C610E"/>
    <w:rsid w:val="7E533BE1"/>
    <w:rsid w:val="7E545D7E"/>
    <w:rsid w:val="7E546AD7"/>
    <w:rsid w:val="7E5B6CBF"/>
    <w:rsid w:val="7E82425C"/>
    <w:rsid w:val="7E834BD0"/>
    <w:rsid w:val="7E8501E5"/>
    <w:rsid w:val="7E902470"/>
    <w:rsid w:val="7E964EAC"/>
    <w:rsid w:val="7E985617"/>
    <w:rsid w:val="7E9D3AC5"/>
    <w:rsid w:val="7EA46553"/>
    <w:rsid w:val="7EA67F14"/>
    <w:rsid w:val="7EA76DF7"/>
    <w:rsid w:val="7EAA59E9"/>
    <w:rsid w:val="7EAA7A04"/>
    <w:rsid w:val="7EAC5215"/>
    <w:rsid w:val="7EBC1958"/>
    <w:rsid w:val="7ECC0EA2"/>
    <w:rsid w:val="7ECD36F3"/>
    <w:rsid w:val="7ED46842"/>
    <w:rsid w:val="7ED5075A"/>
    <w:rsid w:val="7EDA69B7"/>
    <w:rsid w:val="7EDF693E"/>
    <w:rsid w:val="7EE07602"/>
    <w:rsid w:val="7EE3112B"/>
    <w:rsid w:val="7EE344C7"/>
    <w:rsid w:val="7EE45BBB"/>
    <w:rsid w:val="7EE462AB"/>
    <w:rsid w:val="7EEA7E01"/>
    <w:rsid w:val="7EEB1129"/>
    <w:rsid w:val="7EF173E1"/>
    <w:rsid w:val="7EF21E90"/>
    <w:rsid w:val="7EF47ACE"/>
    <w:rsid w:val="7EF65DE8"/>
    <w:rsid w:val="7EFF7709"/>
    <w:rsid w:val="7F062761"/>
    <w:rsid w:val="7F0A59A4"/>
    <w:rsid w:val="7F105FD8"/>
    <w:rsid w:val="7F14091D"/>
    <w:rsid w:val="7F1411F5"/>
    <w:rsid w:val="7F185460"/>
    <w:rsid w:val="7F192C69"/>
    <w:rsid w:val="7F211C3B"/>
    <w:rsid w:val="7F224D52"/>
    <w:rsid w:val="7F264BB1"/>
    <w:rsid w:val="7F296EDD"/>
    <w:rsid w:val="7F341485"/>
    <w:rsid w:val="7F375704"/>
    <w:rsid w:val="7F3776E8"/>
    <w:rsid w:val="7F446B93"/>
    <w:rsid w:val="7F49308A"/>
    <w:rsid w:val="7F4C5210"/>
    <w:rsid w:val="7F563FEA"/>
    <w:rsid w:val="7F570720"/>
    <w:rsid w:val="7F583AEF"/>
    <w:rsid w:val="7F623E3B"/>
    <w:rsid w:val="7F6F4B8B"/>
    <w:rsid w:val="7F765B38"/>
    <w:rsid w:val="7F793A00"/>
    <w:rsid w:val="7F795A6D"/>
    <w:rsid w:val="7F8103D1"/>
    <w:rsid w:val="7F810C4C"/>
    <w:rsid w:val="7F8A0132"/>
    <w:rsid w:val="7F90631E"/>
    <w:rsid w:val="7F936233"/>
    <w:rsid w:val="7F97150C"/>
    <w:rsid w:val="7F9C3D26"/>
    <w:rsid w:val="7FA34A8C"/>
    <w:rsid w:val="7FA421C1"/>
    <w:rsid w:val="7FA57D9A"/>
    <w:rsid w:val="7FAB3A34"/>
    <w:rsid w:val="7FAC155A"/>
    <w:rsid w:val="7FAD010E"/>
    <w:rsid w:val="7FAD40F2"/>
    <w:rsid w:val="7FB953D1"/>
    <w:rsid w:val="7FBA1343"/>
    <w:rsid w:val="7FC07724"/>
    <w:rsid w:val="7FC61C08"/>
    <w:rsid w:val="7FC979F4"/>
    <w:rsid w:val="7FCC49DD"/>
    <w:rsid w:val="7FD1158B"/>
    <w:rsid w:val="7FD16387"/>
    <w:rsid w:val="7FDA3F18"/>
    <w:rsid w:val="7FDF36DE"/>
    <w:rsid w:val="7FE0220E"/>
    <w:rsid w:val="7FE56F8E"/>
    <w:rsid w:val="7FED67E5"/>
    <w:rsid w:val="7FEE100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40"/>
    <w:autoRedefine/>
    <w:qFormat/>
    <w:uiPriority w:val="0"/>
    <w:pPr>
      <w:keepNext/>
      <w:autoSpaceDE w:val="0"/>
      <w:autoSpaceDN w:val="0"/>
      <w:outlineLvl w:val="0"/>
    </w:pPr>
    <w:rPr>
      <w:rFonts w:ascii="宋体" w:hAnsi="宋体"/>
      <w:color w:val="000000"/>
      <w:kern w:val="0"/>
      <w:sz w:val="30"/>
      <w:szCs w:val="18"/>
    </w:rPr>
  </w:style>
  <w:style w:type="paragraph" w:styleId="3">
    <w:name w:val="heading 2"/>
    <w:basedOn w:val="1"/>
    <w:next w:val="1"/>
    <w:link w:val="137"/>
    <w:autoRedefine/>
    <w:qFormat/>
    <w:uiPriority w:val="0"/>
    <w:pPr>
      <w:keepNext/>
      <w:autoSpaceDE w:val="0"/>
      <w:autoSpaceDN w:val="0"/>
      <w:jc w:val="center"/>
      <w:outlineLvl w:val="1"/>
    </w:pPr>
    <w:rPr>
      <w:rFonts w:ascii="宋体" w:hAnsi="宋体"/>
      <w:color w:val="000000"/>
      <w:kern w:val="0"/>
      <w:sz w:val="30"/>
      <w:szCs w:val="18"/>
    </w:rPr>
  </w:style>
  <w:style w:type="paragraph" w:styleId="4">
    <w:name w:val="heading 3"/>
    <w:basedOn w:val="1"/>
    <w:next w:val="1"/>
    <w:autoRedefine/>
    <w:qFormat/>
    <w:uiPriority w:val="0"/>
    <w:pPr>
      <w:keepNext/>
      <w:autoSpaceDE w:val="0"/>
      <w:autoSpaceDN w:val="0"/>
      <w:jc w:val="center"/>
      <w:outlineLvl w:val="2"/>
    </w:pPr>
    <w:rPr>
      <w:kern w:val="0"/>
    </w:rPr>
  </w:style>
  <w:style w:type="paragraph" w:styleId="5">
    <w:name w:val="heading 4"/>
    <w:basedOn w:val="1"/>
    <w:next w:val="1"/>
    <w:link w:val="139"/>
    <w:autoRedefine/>
    <w:qFormat/>
    <w:uiPriority w:val="0"/>
    <w:pPr>
      <w:keepNext/>
      <w:keepLines/>
      <w:spacing w:before="280" w:after="290" w:line="372" w:lineRule="auto"/>
      <w:outlineLvl w:val="3"/>
    </w:pPr>
    <w:rPr>
      <w:rFonts w:ascii="Arial" w:hAnsi="Arial" w:eastAsia="黑体"/>
      <w:b/>
      <w:bCs/>
      <w:sz w:val="28"/>
      <w:szCs w:val="28"/>
    </w:rPr>
  </w:style>
  <w:style w:type="paragraph" w:styleId="6">
    <w:name w:val="heading 6"/>
    <w:basedOn w:val="1"/>
    <w:next w:val="1"/>
    <w:autoRedefine/>
    <w:qFormat/>
    <w:uiPriority w:val="1"/>
    <w:pPr>
      <w:spacing w:before="41"/>
      <w:ind w:left="37"/>
      <w:jc w:val="center"/>
      <w:outlineLvl w:val="5"/>
    </w:pPr>
    <w:rPr>
      <w:rFonts w:ascii="黑体" w:hAnsi="黑体" w:eastAsia="黑体" w:cs="黑体"/>
      <w:sz w:val="42"/>
      <w:szCs w:val="42"/>
      <w:lang w:val="zh-CN" w:bidi="zh-CN"/>
    </w:rPr>
  </w:style>
  <w:style w:type="character" w:default="1" w:styleId="38">
    <w:name w:val="Default Paragraph Font"/>
    <w:autoRedefine/>
    <w:semiHidden/>
    <w:unhideWhenUsed/>
    <w:qFormat/>
    <w:uiPriority w:val="1"/>
  </w:style>
  <w:style w:type="table" w:default="1" w:styleId="36">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qFormat/>
    <w:uiPriority w:val="39"/>
    <w:pPr>
      <w:ind w:left="1260"/>
      <w:jc w:val="left"/>
    </w:pPr>
    <w:rPr>
      <w:sz w:val="18"/>
      <w:szCs w:val="18"/>
    </w:rPr>
  </w:style>
  <w:style w:type="paragraph" w:styleId="8">
    <w:name w:val="Normal Indent"/>
    <w:basedOn w:val="1"/>
    <w:autoRedefine/>
    <w:qFormat/>
    <w:uiPriority w:val="0"/>
    <w:pPr>
      <w:ind w:firstLine="420"/>
    </w:pPr>
    <w:rPr>
      <w:szCs w:val="20"/>
    </w:rPr>
  </w:style>
  <w:style w:type="paragraph" w:styleId="9">
    <w:name w:val="Document Map"/>
    <w:basedOn w:val="1"/>
    <w:autoRedefine/>
    <w:qFormat/>
    <w:uiPriority w:val="0"/>
    <w:pPr>
      <w:shd w:val="clear" w:color="auto" w:fill="000080"/>
    </w:pPr>
  </w:style>
  <w:style w:type="paragraph" w:styleId="10">
    <w:name w:val="annotation text"/>
    <w:basedOn w:val="1"/>
    <w:autoRedefine/>
    <w:qFormat/>
    <w:uiPriority w:val="0"/>
    <w:pPr>
      <w:jc w:val="left"/>
    </w:pPr>
  </w:style>
  <w:style w:type="paragraph" w:styleId="11">
    <w:name w:val="Body Text"/>
    <w:basedOn w:val="1"/>
    <w:next w:val="12"/>
    <w:autoRedefine/>
    <w:qFormat/>
    <w:uiPriority w:val="0"/>
    <w:pPr>
      <w:spacing w:after="120"/>
    </w:pPr>
  </w:style>
  <w:style w:type="paragraph" w:styleId="12">
    <w:name w:val="Body Text 2"/>
    <w:basedOn w:val="1"/>
    <w:next w:val="11"/>
    <w:autoRedefine/>
    <w:qFormat/>
    <w:uiPriority w:val="0"/>
    <w:rPr>
      <w:rFonts w:ascii="宋体" w:hAnsi="宋体"/>
      <w:sz w:val="28"/>
    </w:rPr>
  </w:style>
  <w:style w:type="paragraph" w:styleId="13">
    <w:name w:val="Body Text Indent"/>
    <w:basedOn w:val="1"/>
    <w:next w:val="14"/>
    <w:link w:val="149"/>
    <w:autoRedefine/>
    <w:qFormat/>
    <w:uiPriority w:val="0"/>
    <w:pPr>
      <w:ind w:firstLine="660"/>
    </w:pPr>
    <w:rPr>
      <w:rFonts w:ascii="宋体" w:hAnsi="宋体"/>
      <w:sz w:val="30"/>
    </w:rPr>
  </w:style>
  <w:style w:type="paragraph" w:styleId="14">
    <w:name w:val="envelope return"/>
    <w:basedOn w:val="1"/>
    <w:autoRedefine/>
    <w:qFormat/>
    <w:uiPriority w:val="0"/>
    <w:pPr>
      <w:snapToGrid w:val="0"/>
    </w:pPr>
    <w:rPr>
      <w:rFonts w:ascii="Arial" w:hAnsi="Arial"/>
    </w:rPr>
  </w:style>
  <w:style w:type="paragraph" w:styleId="15">
    <w:name w:val="toc 5"/>
    <w:basedOn w:val="1"/>
    <w:next w:val="1"/>
    <w:autoRedefine/>
    <w:qFormat/>
    <w:uiPriority w:val="39"/>
    <w:pPr>
      <w:ind w:left="840"/>
      <w:jc w:val="left"/>
    </w:pPr>
    <w:rPr>
      <w:sz w:val="18"/>
      <w:szCs w:val="18"/>
    </w:rPr>
  </w:style>
  <w:style w:type="paragraph" w:styleId="16">
    <w:name w:val="toc 3"/>
    <w:basedOn w:val="1"/>
    <w:next w:val="1"/>
    <w:autoRedefine/>
    <w:qFormat/>
    <w:uiPriority w:val="39"/>
    <w:pPr>
      <w:ind w:left="420"/>
      <w:jc w:val="left"/>
    </w:pPr>
    <w:rPr>
      <w:i/>
      <w:iCs/>
      <w:sz w:val="20"/>
      <w:szCs w:val="20"/>
    </w:rPr>
  </w:style>
  <w:style w:type="paragraph" w:styleId="17">
    <w:name w:val="Plain Text"/>
    <w:basedOn w:val="1"/>
    <w:link w:val="133"/>
    <w:autoRedefine/>
    <w:qFormat/>
    <w:uiPriority w:val="0"/>
    <w:rPr>
      <w:rFonts w:ascii="宋体" w:hAnsi="Courier New" w:cs="Courier New"/>
      <w:szCs w:val="21"/>
    </w:rPr>
  </w:style>
  <w:style w:type="paragraph" w:styleId="18">
    <w:name w:val="toc 8"/>
    <w:basedOn w:val="1"/>
    <w:next w:val="1"/>
    <w:autoRedefine/>
    <w:qFormat/>
    <w:uiPriority w:val="39"/>
    <w:pPr>
      <w:ind w:left="1470"/>
      <w:jc w:val="left"/>
    </w:pPr>
    <w:rPr>
      <w:sz w:val="18"/>
      <w:szCs w:val="18"/>
    </w:rPr>
  </w:style>
  <w:style w:type="paragraph" w:styleId="19">
    <w:name w:val="Body Text Indent 2"/>
    <w:basedOn w:val="1"/>
    <w:autoRedefine/>
    <w:qFormat/>
    <w:uiPriority w:val="0"/>
    <w:pPr>
      <w:ind w:firstLine="600" w:firstLineChars="200"/>
    </w:pPr>
    <w:rPr>
      <w:rFonts w:ascii="宋体" w:hAnsi="宋体"/>
      <w:color w:val="FF0000"/>
      <w:sz w:val="30"/>
    </w:rPr>
  </w:style>
  <w:style w:type="paragraph" w:styleId="20">
    <w:name w:val="Balloon Text"/>
    <w:basedOn w:val="1"/>
    <w:autoRedefine/>
    <w:qFormat/>
    <w:uiPriority w:val="0"/>
    <w:rPr>
      <w:sz w:val="18"/>
      <w:szCs w:val="18"/>
    </w:rPr>
  </w:style>
  <w:style w:type="paragraph" w:styleId="21">
    <w:name w:val="footer"/>
    <w:basedOn w:val="1"/>
    <w:autoRedefine/>
    <w:qFormat/>
    <w:uiPriority w:val="0"/>
    <w:pPr>
      <w:tabs>
        <w:tab w:val="center" w:pos="4153"/>
        <w:tab w:val="right" w:pos="8306"/>
      </w:tabs>
      <w:snapToGrid w:val="0"/>
      <w:jc w:val="left"/>
    </w:pPr>
    <w:rPr>
      <w:sz w:val="18"/>
      <w:szCs w:val="18"/>
    </w:rPr>
  </w:style>
  <w:style w:type="paragraph" w:styleId="22">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23">
    <w:name w:val="toc 1"/>
    <w:basedOn w:val="1"/>
    <w:next w:val="1"/>
    <w:autoRedefine/>
    <w:qFormat/>
    <w:uiPriority w:val="39"/>
    <w:pPr>
      <w:spacing w:before="120" w:after="120"/>
      <w:jc w:val="left"/>
    </w:pPr>
    <w:rPr>
      <w:b/>
      <w:bCs/>
      <w:caps/>
      <w:sz w:val="20"/>
      <w:szCs w:val="20"/>
    </w:rPr>
  </w:style>
  <w:style w:type="paragraph" w:styleId="24">
    <w:name w:val="toc 4"/>
    <w:basedOn w:val="1"/>
    <w:next w:val="1"/>
    <w:autoRedefine/>
    <w:qFormat/>
    <w:uiPriority w:val="39"/>
    <w:pPr>
      <w:ind w:left="630"/>
      <w:jc w:val="left"/>
    </w:pPr>
    <w:rPr>
      <w:sz w:val="18"/>
      <w:szCs w:val="18"/>
    </w:rPr>
  </w:style>
  <w:style w:type="paragraph" w:styleId="25">
    <w:name w:val="toc 6"/>
    <w:basedOn w:val="1"/>
    <w:next w:val="1"/>
    <w:autoRedefine/>
    <w:qFormat/>
    <w:uiPriority w:val="39"/>
    <w:pPr>
      <w:ind w:left="1050"/>
      <w:jc w:val="left"/>
    </w:pPr>
    <w:rPr>
      <w:sz w:val="18"/>
      <w:szCs w:val="18"/>
    </w:rPr>
  </w:style>
  <w:style w:type="paragraph" w:styleId="26">
    <w:name w:val="List 5"/>
    <w:basedOn w:val="1"/>
    <w:autoRedefine/>
    <w:qFormat/>
    <w:uiPriority w:val="0"/>
    <w:pPr>
      <w:ind w:left="2100" w:hanging="420"/>
    </w:pPr>
    <w:rPr>
      <w:rFonts w:eastAsia="方正仿宋_GB2312"/>
      <w:sz w:val="32"/>
    </w:rPr>
  </w:style>
  <w:style w:type="paragraph" w:styleId="27">
    <w:name w:val="Body Text Indent 3"/>
    <w:basedOn w:val="1"/>
    <w:link w:val="129"/>
    <w:autoRedefine/>
    <w:qFormat/>
    <w:uiPriority w:val="0"/>
    <w:pPr>
      <w:spacing w:line="500" w:lineRule="exact"/>
      <w:ind w:firstLine="660"/>
    </w:pPr>
    <w:rPr>
      <w:rFonts w:ascii="方正仿宋_GB2312" w:hAnsi="宋体" w:eastAsia="方正仿宋_GB2312"/>
      <w:color w:val="000000"/>
      <w:sz w:val="28"/>
    </w:rPr>
  </w:style>
  <w:style w:type="paragraph" w:styleId="28">
    <w:name w:val="table of figures"/>
    <w:basedOn w:val="1"/>
    <w:next w:val="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9">
    <w:name w:val="toc 2"/>
    <w:basedOn w:val="1"/>
    <w:next w:val="1"/>
    <w:autoRedefine/>
    <w:qFormat/>
    <w:uiPriority w:val="39"/>
    <w:pPr>
      <w:ind w:left="210"/>
      <w:jc w:val="left"/>
    </w:pPr>
    <w:rPr>
      <w:smallCaps/>
      <w:sz w:val="20"/>
      <w:szCs w:val="20"/>
    </w:rPr>
  </w:style>
  <w:style w:type="paragraph" w:styleId="30">
    <w:name w:val="toc 9"/>
    <w:basedOn w:val="1"/>
    <w:next w:val="1"/>
    <w:autoRedefine/>
    <w:qFormat/>
    <w:uiPriority w:val="39"/>
    <w:pPr>
      <w:ind w:left="1680"/>
      <w:jc w:val="left"/>
    </w:pPr>
    <w:rPr>
      <w:sz w:val="18"/>
      <w:szCs w:val="18"/>
    </w:rPr>
  </w:style>
  <w:style w:type="paragraph" w:styleId="31">
    <w:name w:val="Message Header"/>
    <w:basedOn w:val="1"/>
    <w:autoRedefine/>
    <w:qFormat/>
    <w:uiPriority w:val="0"/>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2">
    <w:name w:val="Normal (Web)"/>
    <w:basedOn w:val="1"/>
    <w:autoRedefine/>
    <w:qFormat/>
    <w:uiPriority w:val="0"/>
    <w:pPr>
      <w:widowControl/>
      <w:spacing w:before="100" w:beforeAutospacing="1" w:after="100" w:afterAutospacing="1"/>
      <w:jc w:val="left"/>
    </w:pPr>
    <w:rPr>
      <w:rFonts w:ascii="宋体" w:hAnsi="宋体" w:cs="宋体"/>
      <w:kern w:val="0"/>
      <w:sz w:val="24"/>
    </w:rPr>
  </w:style>
  <w:style w:type="paragraph" w:styleId="33">
    <w:name w:val="annotation subject"/>
    <w:basedOn w:val="10"/>
    <w:next w:val="10"/>
    <w:autoRedefine/>
    <w:qFormat/>
    <w:uiPriority w:val="0"/>
    <w:rPr>
      <w:b/>
      <w:bCs/>
    </w:rPr>
  </w:style>
  <w:style w:type="paragraph" w:styleId="34">
    <w:name w:val="Body Text First Indent"/>
    <w:basedOn w:val="11"/>
    <w:next w:val="1"/>
    <w:autoRedefine/>
    <w:qFormat/>
    <w:uiPriority w:val="0"/>
    <w:pPr>
      <w:ind w:firstLine="420" w:firstLineChars="100"/>
    </w:pPr>
  </w:style>
  <w:style w:type="paragraph" w:styleId="35">
    <w:name w:val="Body Text First Indent 2"/>
    <w:basedOn w:val="13"/>
    <w:next w:val="1"/>
    <w:autoRedefine/>
    <w:qFormat/>
    <w:uiPriority w:val="0"/>
    <w:pPr>
      <w:spacing w:after="120"/>
      <w:ind w:firstLine="420" w:firstLineChars="200"/>
    </w:pPr>
  </w:style>
  <w:style w:type="table" w:styleId="37">
    <w:name w:val="Table Grid"/>
    <w:basedOn w:val="3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9">
    <w:name w:val="Strong"/>
    <w:basedOn w:val="38"/>
    <w:autoRedefine/>
    <w:qFormat/>
    <w:uiPriority w:val="0"/>
    <w:rPr>
      <w:b/>
      <w:bCs/>
    </w:rPr>
  </w:style>
  <w:style w:type="character" w:styleId="40">
    <w:name w:val="page number"/>
    <w:basedOn w:val="38"/>
    <w:autoRedefine/>
    <w:qFormat/>
    <w:uiPriority w:val="0"/>
  </w:style>
  <w:style w:type="character" w:styleId="41">
    <w:name w:val="FollowedHyperlink"/>
    <w:autoRedefine/>
    <w:qFormat/>
    <w:uiPriority w:val="0"/>
    <w:rPr>
      <w:color w:val="333333"/>
      <w:sz w:val="18"/>
      <w:szCs w:val="18"/>
      <w:u w:val="none"/>
    </w:rPr>
  </w:style>
  <w:style w:type="character" w:styleId="42">
    <w:name w:val="HTML Definition"/>
    <w:basedOn w:val="38"/>
    <w:autoRedefine/>
    <w:qFormat/>
    <w:uiPriority w:val="0"/>
  </w:style>
  <w:style w:type="character" w:styleId="43">
    <w:name w:val="HTML Typewriter"/>
    <w:basedOn w:val="38"/>
    <w:qFormat/>
    <w:uiPriority w:val="0"/>
    <w:rPr>
      <w:rFonts w:hint="default" w:ascii="Consolas" w:hAnsi="Consolas" w:eastAsia="Consolas" w:cs="Consolas"/>
      <w:sz w:val="20"/>
    </w:rPr>
  </w:style>
  <w:style w:type="character" w:styleId="44">
    <w:name w:val="HTML Acronym"/>
    <w:basedOn w:val="38"/>
    <w:qFormat/>
    <w:uiPriority w:val="0"/>
  </w:style>
  <w:style w:type="character" w:styleId="45">
    <w:name w:val="HTML Variable"/>
    <w:basedOn w:val="38"/>
    <w:qFormat/>
    <w:uiPriority w:val="0"/>
  </w:style>
  <w:style w:type="character" w:styleId="46">
    <w:name w:val="Hyperlink"/>
    <w:autoRedefine/>
    <w:qFormat/>
    <w:uiPriority w:val="99"/>
    <w:rPr>
      <w:color w:val="333333"/>
      <w:sz w:val="18"/>
      <w:szCs w:val="18"/>
      <w:u w:val="none"/>
    </w:rPr>
  </w:style>
  <w:style w:type="character" w:styleId="47">
    <w:name w:val="HTML Code"/>
    <w:basedOn w:val="38"/>
    <w:autoRedefine/>
    <w:qFormat/>
    <w:uiPriority w:val="0"/>
    <w:rPr>
      <w:rFonts w:hint="default" w:ascii="Consolas" w:hAnsi="Consolas" w:eastAsia="Consolas" w:cs="Consolas"/>
      <w:color w:val="C7254E"/>
      <w:sz w:val="21"/>
      <w:szCs w:val="21"/>
      <w:shd w:val="clear" w:color="auto" w:fill="F9F2F4"/>
    </w:rPr>
  </w:style>
  <w:style w:type="character" w:styleId="48">
    <w:name w:val="annotation reference"/>
    <w:autoRedefine/>
    <w:qFormat/>
    <w:uiPriority w:val="0"/>
    <w:rPr>
      <w:sz w:val="21"/>
      <w:szCs w:val="21"/>
    </w:rPr>
  </w:style>
  <w:style w:type="character" w:styleId="49">
    <w:name w:val="HTML Cite"/>
    <w:basedOn w:val="38"/>
    <w:qFormat/>
    <w:uiPriority w:val="0"/>
  </w:style>
  <w:style w:type="character" w:styleId="50">
    <w:name w:val="HTML Keyboard"/>
    <w:basedOn w:val="38"/>
    <w:autoRedefine/>
    <w:qFormat/>
    <w:uiPriority w:val="0"/>
    <w:rPr>
      <w:rFonts w:ascii="Consolas" w:hAnsi="Consolas" w:eastAsia="Consolas" w:cs="Consolas"/>
      <w:color w:val="FFFFFF"/>
      <w:sz w:val="21"/>
      <w:szCs w:val="21"/>
      <w:shd w:val="clear" w:color="auto" w:fill="333333"/>
    </w:rPr>
  </w:style>
  <w:style w:type="character" w:styleId="51">
    <w:name w:val="HTML Sample"/>
    <w:basedOn w:val="38"/>
    <w:autoRedefine/>
    <w:qFormat/>
    <w:uiPriority w:val="0"/>
    <w:rPr>
      <w:rFonts w:hint="default" w:ascii="Consolas" w:hAnsi="Consolas" w:eastAsia="Consolas" w:cs="Consolas"/>
      <w:sz w:val="21"/>
      <w:szCs w:val="21"/>
    </w:rPr>
  </w:style>
  <w:style w:type="paragraph" w:customStyle="1" w:styleId="52">
    <w:name w:val="Default"/>
    <w:autoRedefine/>
    <w:qFormat/>
    <w:uiPriority w:val="0"/>
    <w:pPr>
      <w:widowControl w:val="0"/>
      <w:autoSpaceDE w:val="0"/>
      <w:autoSpaceDN w:val="0"/>
      <w:adjustRightInd w:val="0"/>
      <w:spacing w:after="200" w:line="276" w:lineRule="auto"/>
    </w:pPr>
    <w:rPr>
      <w:rFonts w:ascii="宋体" w:hAnsi="Times New Roman" w:eastAsia="宋体" w:cs="宋体"/>
      <w:color w:val="000000"/>
      <w:sz w:val="24"/>
      <w:szCs w:val="24"/>
      <w:lang w:val="en-US" w:eastAsia="zh-CN" w:bidi="ar-SA"/>
    </w:rPr>
  </w:style>
  <w:style w:type="paragraph" w:customStyle="1" w:styleId="53">
    <w:name w:val="无间隔1"/>
    <w:basedOn w:val="1"/>
    <w:autoRedefine/>
    <w:qFormat/>
    <w:uiPriority w:val="0"/>
    <w:pPr>
      <w:spacing w:line="400" w:lineRule="exact"/>
    </w:pPr>
    <w:rPr>
      <w:sz w:val="24"/>
    </w:rPr>
  </w:style>
  <w:style w:type="paragraph" w:customStyle="1" w:styleId="54">
    <w:name w:val="样式1"/>
    <w:basedOn w:val="1"/>
    <w:next w:val="5"/>
    <w:autoRedefine/>
    <w:qFormat/>
    <w:uiPriority w:val="0"/>
    <w:pPr>
      <w:spacing w:line="360" w:lineRule="auto"/>
      <w:ind w:firstLine="420" w:firstLineChars="200"/>
    </w:pPr>
    <w:rPr>
      <w:rFonts w:ascii="宋体" w:hAnsi="宋体"/>
      <w:szCs w:val="21"/>
    </w:rPr>
  </w:style>
  <w:style w:type="paragraph" w:customStyle="1" w:styleId="55">
    <w:name w:val="et44"/>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56">
    <w:name w:val="Char Char Char Char Char Char Char Char Char Char Char Char Char"/>
    <w:basedOn w:val="1"/>
    <w:autoRedefine/>
    <w:qFormat/>
    <w:uiPriority w:val="0"/>
    <w:pPr>
      <w:adjustRightInd w:val="0"/>
      <w:spacing w:line="360" w:lineRule="atLeast"/>
    </w:pPr>
    <w:rPr>
      <w:rFonts w:ascii="Tahoma" w:hAnsi="Tahoma"/>
      <w:sz w:val="24"/>
      <w:szCs w:val="20"/>
    </w:rPr>
  </w:style>
  <w:style w:type="paragraph" w:customStyle="1" w:styleId="57">
    <w:name w:val="xl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58">
    <w:name w:val="et43"/>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59">
    <w:name w:val="et9"/>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60">
    <w:name w:val="et22"/>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61">
    <w:name w:val="正文1"/>
    <w:basedOn w:val="1"/>
    <w:link w:val="127"/>
    <w:autoRedefine/>
    <w:qFormat/>
    <w:uiPriority w:val="0"/>
    <w:pPr>
      <w:spacing w:line="360" w:lineRule="auto"/>
      <w:ind w:firstLine="560" w:firstLineChars="200"/>
    </w:pPr>
    <w:rPr>
      <w:rFonts w:eastAsia="方正仿宋_GB2312"/>
      <w:color w:val="000000"/>
      <w:sz w:val="28"/>
      <w:szCs w:val="28"/>
    </w:rPr>
  </w:style>
  <w:style w:type="paragraph" w:customStyle="1" w:styleId="62">
    <w:name w:val="et24"/>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63">
    <w:name w:val="xl34"/>
    <w:basedOn w:val="1"/>
    <w:autoRedefine/>
    <w:qFormat/>
    <w:uiPriority w:val="0"/>
    <w:pPr>
      <w:widowControl/>
      <w:spacing w:before="100" w:beforeAutospacing="1" w:after="100" w:afterAutospacing="1"/>
      <w:jc w:val="left"/>
      <w:textAlignment w:val="center"/>
    </w:pPr>
    <w:rPr>
      <w:rFonts w:ascii="宋体" w:hAnsi="宋体" w:cs="宋体"/>
      <w:kern w:val="0"/>
      <w:sz w:val="20"/>
      <w:szCs w:val="20"/>
    </w:rPr>
  </w:style>
  <w:style w:type="paragraph" w:customStyle="1" w:styleId="64">
    <w:name w:val="et37"/>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65">
    <w:name w:val="et45"/>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66">
    <w:name w:val="et8"/>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67">
    <w:name w:val="et39"/>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68">
    <w:name w:val="et42"/>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69">
    <w:name w:val="et30"/>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70">
    <w:name w:val="5正文"/>
    <w:basedOn w:val="1"/>
    <w:next w:val="1"/>
    <w:autoRedefine/>
    <w:qFormat/>
    <w:uiPriority w:val="0"/>
    <w:pPr>
      <w:spacing w:line="360" w:lineRule="auto"/>
      <w:ind w:firstLine="480" w:firstLineChars="200"/>
      <w:jc w:val="left"/>
    </w:pPr>
    <w:rPr>
      <w:rFonts w:eastAsia="方正仿宋_GB2312"/>
      <w:sz w:val="24"/>
    </w:rPr>
  </w:style>
  <w:style w:type="paragraph" w:customStyle="1" w:styleId="71">
    <w:name w:val="Char1"/>
    <w:basedOn w:val="1"/>
    <w:autoRedefine/>
    <w:qFormat/>
    <w:uiPriority w:val="0"/>
  </w:style>
  <w:style w:type="paragraph" w:customStyle="1" w:styleId="72">
    <w:name w:val="et41"/>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73">
    <w:name w:val="et14"/>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74">
    <w:name w:val="xl2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75">
    <w:name w:val="xl33"/>
    <w:basedOn w:val="1"/>
    <w:autoRedefine/>
    <w:qFormat/>
    <w:uiPriority w:val="0"/>
    <w:pPr>
      <w:widowControl/>
      <w:spacing w:before="100" w:beforeAutospacing="1" w:after="100" w:afterAutospacing="1"/>
      <w:jc w:val="center"/>
      <w:textAlignment w:val="center"/>
    </w:pPr>
    <w:rPr>
      <w:rFonts w:ascii="宋体" w:hAnsi="宋体" w:cs="宋体"/>
      <w:b/>
      <w:bCs/>
      <w:kern w:val="0"/>
      <w:sz w:val="32"/>
      <w:szCs w:val="32"/>
    </w:rPr>
  </w:style>
  <w:style w:type="paragraph" w:customStyle="1" w:styleId="76">
    <w:name w:val="et32"/>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77">
    <w:name w:val="5正文形式"/>
    <w:basedOn w:val="1"/>
    <w:autoRedefine/>
    <w:qFormat/>
    <w:uiPriority w:val="0"/>
    <w:pPr>
      <w:spacing w:line="360" w:lineRule="auto"/>
      <w:ind w:left="182" w:leftChars="65" w:firstLine="480" w:firstLineChars="200"/>
    </w:pPr>
    <w:rPr>
      <w:rFonts w:ascii="宋体" w:hAnsi="宋体"/>
      <w:sz w:val="24"/>
    </w:rPr>
  </w:style>
  <w:style w:type="paragraph" w:customStyle="1" w:styleId="78">
    <w:name w:val="et28"/>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79">
    <w:name w:val="样式 仿宋_GB2312 四号 蓝色 左 行距: 固定值 28 磅"/>
    <w:basedOn w:val="1"/>
    <w:link w:val="143"/>
    <w:autoRedefine/>
    <w:qFormat/>
    <w:uiPriority w:val="0"/>
    <w:pPr>
      <w:spacing w:line="360" w:lineRule="auto"/>
      <w:ind w:firstLine="560" w:firstLineChars="200"/>
      <w:outlineLvl w:val="0"/>
    </w:pPr>
    <w:rPr>
      <w:rFonts w:ascii="方正仿宋_GB2312" w:hAnsi="宋体" w:eastAsia="方正仿宋_GB2312" w:cs="宋体"/>
      <w:sz w:val="28"/>
      <w:szCs w:val="21"/>
    </w:rPr>
  </w:style>
  <w:style w:type="paragraph" w:customStyle="1" w:styleId="80">
    <w:name w:val="Char Char Char Char Char Char Char Char Char Char Char Char Char Char Char Char"/>
    <w:basedOn w:val="1"/>
    <w:autoRedefine/>
    <w:qFormat/>
    <w:uiPriority w:val="0"/>
    <w:pPr>
      <w:snapToGrid w:val="0"/>
      <w:spacing w:line="360" w:lineRule="auto"/>
      <w:ind w:firstLine="200" w:firstLineChars="200"/>
    </w:pPr>
  </w:style>
  <w:style w:type="paragraph" w:customStyle="1" w:styleId="81">
    <w:name w:val="et36"/>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82">
    <w:name w:val="Normal_0"/>
    <w:autoRedefine/>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83">
    <w:name w:val="et35"/>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84">
    <w:name w:val="et20"/>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85">
    <w:name w:val="et40"/>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86">
    <w:name w:val="et12"/>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87">
    <w:name w:val="et5"/>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88">
    <w:name w:val="xl35"/>
    <w:basedOn w:val="1"/>
    <w:autoRedefine/>
    <w:qFormat/>
    <w:uiPriority w:val="0"/>
    <w:pPr>
      <w:widowControl/>
      <w:pBdr>
        <w:bottom w:val="single" w:color="auto" w:sz="4" w:space="0"/>
      </w:pBdr>
      <w:spacing w:before="100" w:beforeAutospacing="1" w:after="100" w:afterAutospacing="1"/>
      <w:jc w:val="center"/>
      <w:textAlignment w:val="center"/>
    </w:pPr>
    <w:rPr>
      <w:rFonts w:ascii="宋体" w:hAnsi="宋体" w:cs="宋体"/>
      <w:b/>
      <w:bCs/>
      <w:kern w:val="0"/>
      <w:sz w:val="16"/>
      <w:szCs w:val="16"/>
    </w:rPr>
  </w:style>
  <w:style w:type="paragraph" w:customStyle="1" w:styleId="89">
    <w:name w:val="xl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0"/>
      <w:szCs w:val="20"/>
    </w:rPr>
  </w:style>
  <w:style w:type="paragraph" w:customStyle="1" w:styleId="90">
    <w:name w:val="xl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0"/>
      <w:szCs w:val="20"/>
    </w:rPr>
  </w:style>
  <w:style w:type="paragraph" w:customStyle="1" w:styleId="91">
    <w:name w:val="引用1"/>
    <w:basedOn w:val="1"/>
    <w:next w:val="1"/>
    <w:link w:val="128"/>
    <w:autoRedefine/>
    <w:qFormat/>
    <w:uiPriority w:val="99"/>
    <w:rPr>
      <w:i/>
      <w:iCs/>
      <w:color w:val="000000"/>
    </w:rPr>
  </w:style>
  <w:style w:type="paragraph" w:customStyle="1" w:styleId="92">
    <w:name w:val="p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3">
    <w:name w:val="et21"/>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94">
    <w:name w:val="Char Char Char Char Char Char Char Char Char Char Char Char"/>
    <w:basedOn w:val="1"/>
    <w:autoRedefine/>
    <w:qFormat/>
    <w:uiPriority w:val="0"/>
    <w:pPr>
      <w:snapToGrid w:val="0"/>
      <w:spacing w:line="360" w:lineRule="auto"/>
      <w:ind w:firstLine="200" w:firstLineChars="200"/>
    </w:pPr>
    <w:rPr>
      <w:rFonts w:eastAsia="方正仿宋_GB2312"/>
      <w:sz w:val="24"/>
    </w:rPr>
  </w:style>
  <w:style w:type="paragraph" w:customStyle="1" w:styleId="95">
    <w:name w:val="et17"/>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96">
    <w:name w:val="et3"/>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97">
    <w:name w:val="et34"/>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98">
    <w:name w:val="Normal_1"/>
    <w:autoRedefine/>
    <w:qFormat/>
    <w:uiPriority w:val="0"/>
    <w:pPr>
      <w:widowControl w:val="0"/>
      <w:spacing w:after="200" w:line="276" w:lineRule="auto"/>
      <w:jc w:val="both"/>
    </w:pPr>
    <w:rPr>
      <w:rFonts w:ascii="Times New Roman" w:hAnsi="Times New Roman" w:eastAsia="宋体" w:cs="Times New Roman"/>
      <w:kern w:val="2"/>
      <w:sz w:val="21"/>
      <w:szCs w:val="24"/>
      <w:lang w:val="en-US" w:eastAsia="zh-CN" w:bidi="ar-SA"/>
    </w:rPr>
  </w:style>
  <w:style w:type="paragraph" w:customStyle="1" w:styleId="99">
    <w:name w:val="et6"/>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00">
    <w:name w:val="et27"/>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01">
    <w:name w:val="et13"/>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02">
    <w:name w:val="et26"/>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03">
    <w:name w:val="et23"/>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04">
    <w:name w:val="et25"/>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05">
    <w:name w:val="et11"/>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06">
    <w:name w:val="Char"/>
    <w:basedOn w:val="1"/>
    <w:autoRedefine/>
    <w:qFormat/>
    <w:uiPriority w:val="0"/>
    <w:pPr>
      <w:snapToGrid w:val="0"/>
      <w:spacing w:line="360" w:lineRule="auto"/>
      <w:ind w:firstLine="200" w:firstLineChars="200"/>
    </w:pPr>
    <w:rPr>
      <w:rFonts w:eastAsia="方正仿宋_GB2312"/>
      <w:sz w:val="24"/>
    </w:rPr>
  </w:style>
  <w:style w:type="paragraph" w:customStyle="1" w:styleId="107">
    <w:name w:val="et19"/>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08">
    <w:name w:val="font5"/>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109">
    <w:name w:val="et4"/>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10">
    <w:name w:val="Char Char Char Char"/>
    <w:basedOn w:val="1"/>
    <w:autoRedefine/>
    <w:qFormat/>
    <w:uiPriority w:val="0"/>
    <w:pPr>
      <w:snapToGrid w:val="0"/>
      <w:spacing w:line="360" w:lineRule="auto"/>
      <w:ind w:firstLine="200" w:firstLineChars="200"/>
    </w:pPr>
    <w:rPr>
      <w:rFonts w:eastAsia="方正仿宋_GB2312"/>
      <w:sz w:val="24"/>
    </w:rPr>
  </w:style>
  <w:style w:type="paragraph" w:customStyle="1" w:styleId="111">
    <w:name w:val="et38"/>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12">
    <w:name w:val="et18"/>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13">
    <w:name w:val="xl24"/>
    <w:basedOn w:val="1"/>
    <w:autoRedefine/>
    <w:qFormat/>
    <w:uiPriority w:val="0"/>
    <w:pPr>
      <w:widowControl/>
      <w:spacing w:before="100" w:beforeAutospacing="1" w:after="100" w:afterAutospacing="1"/>
      <w:jc w:val="left"/>
      <w:textAlignment w:val="center"/>
    </w:pPr>
    <w:rPr>
      <w:rFonts w:ascii="宋体" w:hAnsi="宋体" w:cs="宋体"/>
      <w:kern w:val="0"/>
      <w:sz w:val="24"/>
    </w:rPr>
  </w:style>
  <w:style w:type="paragraph" w:customStyle="1" w:styleId="114">
    <w:name w:val="et29"/>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15">
    <w:name w:val="et10"/>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16">
    <w:name w:val="xl25"/>
    <w:basedOn w:val="1"/>
    <w:autoRedefine/>
    <w:qFormat/>
    <w:uiPriority w:val="0"/>
    <w:pPr>
      <w:widowControl/>
      <w:spacing w:before="100" w:beforeAutospacing="1" w:after="100" w:afterAutospacing="1"/>
      <w:jc w:val="left"/>
      <w:textAlignment w:val="center"/>
    </w:pPr>
    <w:rPr>
      <w:rFonts w:ascii="宋体" w:hAnsi="宋体" w:cs="宋体"/>
      <w:kern w:val="0"/>
      <w:sz w:val="24"/>
    </w:rPr>
  </w:style>
  <w:style w:type="paragraph" w:customStyle="1" w:styleId="117">
    <w:name w:val="xl2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18">
    <w:name w:val="cjk"/>
    <w:basedOn w:val="1"/>
    <w:autoRedefine/>
    <w:qFormat/>
    <w:uiPriority w:val="0"/>
    <w:pPr>
      <w:widowControl/>
      <w:spacing w:line="480" w:lineRule="auto"/>
      <w:jc w:val="left"/>
    </w:pPr>
    <w:rPr>
      <w:rFonts w:ascii="宋体" w:hAnsi="宋体" w:cs="宋体"/>
      <w:kern w:val="0"/>
      <w:sz w:val="24"/>
    </w:rPr>
  </w:style>
  <w:style w:type="paragraph" w:customStyle="1" w:styleId="119">
    <w:name w:val="样式 标题 2 + Times New Roman 四号 非加粗 段前: 5 磅 段后: 0 磅 行距: 固定值 20..."/>
    <w:basedOn w:val="3"/>
    <w:autoRedefine/>
    <w:qFormat/>
    <w:uiPriority w:val="0"/>
    <w:pPr>
      <w:keepLines/>
      <w:autoSpaceDE/>
      <w:autoSpaceDN/>
      <w:spacing w:before="100" w:line="400" w:lineRule="exact"/>
      <w:jc w:val="both"/>
    </w:pPr>
    <w:rPr>
      <w:rFonts w:ascii="Times New Roman" w:hAnsi="Times New Roman" w:eastAsia="黑体" w:cs="宋体"/>
      <w:color w:val="auto"/>
      <w:kern w:val="2"/>
      <w:sz w:val="28"/>
      <w:szCs w:val="20"/>
    </w:rPr>
  </w:style>
  <w:style w:type="paragraph" w:customStyle="1" w:styleId="120">
    <w:name w:val="et16"/>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21">
    <w:name w:val="xl2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4"/>
    </w:rPr>
  </w:style>
  <w:style w:type="paragraph" w:customStyle="1" w:styleId="122">
    <w:name w:val="et7"/>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23">
    <w:name w:val="et15"/>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24">
    <w:name w:val="et33"/>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25">
    <w:name w:val="et31"/>
    <w:basedOn w:val="1"/>
    <w:autoRedefine/>
    <w:qFormat/>
    <w:uiPriority w:val="0"/>
    <w:pPr>
      <w:widowControl/>
      <w:spacing w:before="100" w:beforeAutospacing="1" w:after="100" w:afterAutospacing="1"/>
      <w:jc w:val="left"/>
      <w:textAlignment w:val="bottom"/>
    </w:pPr>
    <w:rPr>
      <w:rFonts w:ascii="宋体" w:hAnsi="宋体" w:cs="宋体"/>
      <w:color w:val="000000"/>
      <w:kern w:val="0"/>
      <w:sz w:val="24"/>
    </w:rPr>
  </w:style>
  <w:style w:type="paragraph" w:customStyle="1" w:styleId="126">
    <w:name w:val="xl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textAlignment w:val="center"/>
    </w:pPr>
    <w:rPr>
      <w:rFonts w:ascii="宋体" w:hAnsi="宋体" w:cs="宋体"/>
      <w:kern w:val="0"/>
      <w:sz w:val="20"/>
      <w:szCs w:val="20"/>
    </w:rPr>
  </w:style>
  <w:style w:type="character" w:customStyle="1" w:styleId="127">
    <w:name w:val="正文1 Char Char"/>
    <w:link w:val="61"/>
    <w:autoRedefine/>
    <w:qFormat/>
    <w:uiPriority w:val="0"/>
    <w:rPr>
      <w:rFonts w:eastAsia="方正仿宋_GB2312"/>
      <w:color w:val="000000"/>
      <w:kern w:val="2"/>
      <w:sz w:val="28"/>
      <w:szCs w:val="28"/>
      <w:lang w:val="en-US" w:eastAsia="zh-CN" w:bidi="ar-SA"/>
    </w:rPr>
  </w:style>
  <w:style w:type="character" w:customStyle="1" w:styleId="128">
    <w:name w:val="引用 Char"/>
    <w:link w:val="91"/>
    <w:autoRedefine/>
    <w:qFormat/>
    <w:uiPriority w:val="99"/>
    <w:rPr>
      <w:i/>
      <w:iCs/>
      <w:color w:val="000000"/>
      <w:kern w:val="2"/>
      <w:sz w:val="21"/>
      <w:szCs w:val="24"/>
    </w:rPr>
  </w:style>
  <w:style w:type="character" w:customStyle="1" w:styleId="129">
    <w:name w:val="正文文本缩进 3 Char"/>
    <w:link w:val="27"/>
    <w:autoRedefine/>
    <w:qFormat/>
    <w:uiPriority w:val="0"/>
    <w:rPr>
      <w:rFonts w:ascii="方正仿宋_GB2312" w:hAnsi="宋体" w:eastAsia="方正仿宋_GB2312"/>
      <w:color w:val="000000"/>
      <w:kern w:val="2"/>
      <w:sz w:val="28"/>
      <w:szCs w:val="24"/>
      <w:lang w:val="en-US" w:eastAsia="zh-CN" w:bidi="ar-SA"/>
    </w:rPr>
  </w:style>
  <w:style w:type="character" w:customStyle="1" w:styleId="130">
    <w:name w:val="纯文本 Char Char"/>
    <w:autoRedefine/>
    <w:qFormat/>
    <w:uiPriority w:val="0"/>
    <w:rPr>
      <w:rFonts w:ascii="宋体" w:hAnsi="Courier New" w:eastAsia="宋体"/>
      <w:kern w:val="2"/>
      <w:sz w:val="21"/>
      <w:lang w:val="en-US" w:eastAsia="zh-CN" w:bidi="ar-SA"/>
    </w:rPr>
  </w:style>
  <w:style w:type="character" w:customStyle="1" w:styleId="131">
    <w:name w:val="hover4"/>
    <w:basedOn w:val="38"/>
    <w:autoRedefine/>
    <w:qFormat/>
    <w:uiPriority w:val="0"/>
  </w:style>
  <w:style w:type="character" w:customStyle="1" w:styleId="132">
    <w:name w:val="Char Char3"/>
    <w:autoRedefine/>
    <w:qFormat/>
    <w:uiPriority w:val="0"/>
    <w:rPr>
      <w:rFonts w:ascii="宋体" w:hAnsi="宋体" w:eastAsia="宋体"/>
      <w:color w:val="000000"/>
      <w:sz w:val="30"/>
      <w:szCs w:val="18"/>
      <w:lang w:val="en-US" w:eastAsia="zh-CN" w:bidi="ar-SA"/>
    </w:rPr>
  </w:style>
  <w:style w:type="character" w:customStyle="1" w:styleId="133">
    <w:name w:val="纯文本 Char"/>
    <w:link w:val="17"/>
    <w:autoRedefine/>
    <w:qFormat/>
    <w:uiPriority w:val="0"/>
    <w:rPr>
      <w:rFonts w:ascii="宋体" w:hAnsi="Courier New" w:eastAsia="宋体" w:cs="Courier New"/>
      <w:kern w:val="2"/>
      <w:sz w:val="21"/>
      <w:szCs w:val="21"/>
      <w:lang w:val="en-US" w:eastAsia="zh-CN" w:bidi="ar-SA"/>
    </w:rPr>
  </w:style>
  <w:style w:type="character" w:customStyle="1" w:styleId="134">
    <w:name w:val="标题 4 Char Char"/>
    <w:autoRedefine/>
    <w:qFormat/>
    <w:uiPriority w:val="0"/>
    <w:rPr>
      <w:rFonts w:ascii="Arial" w:hAnsi="Arial" w:eastAsia="黑体"/>
      <w:b/>
      <w:bCs/>
      <w:kern w:val="2"/>
      <w:sz w:val="28"/>
      <w:szCs w:val="28"/>
      <w:lang w:val="en-US" w:eastAsia="zh-CN" w:bidi="ar-SA"/>
    </w:rPr>
  </w:style>
  <w:style w:type="character" w:customStyle="1" w:styleId="135">
    <w:name w:val="普通文字 Char Char"/>
    <w:autoRedefine/>
    <w:qFormat/>
    <w:uiPriority w:val="0"/>
    <w:rPr>
      <w:rFonts w:ascii="宋体" w:hAnsi="Courier New" w:eastAsia="宋体" w:cs="Courier New"/>
      <w:kern w:val="2"/>
      <w:sz w:val="21"/>
      <w:szCs w:val="21"/>
      <w:lang w:val="en-US" w:eastAsia="zh-CN" w:bidi="ar-SA"/>
    </w:rPr>
  </w:style>
  <w:style w:type="character" w:customStyle="1" w:styleId="136">
    <w:name w:val="摘要表 Char Char Char Char Char Char Char Char Char Char Char Char Char Char Char Char Char Char Char1"/>
    <w:autoRedefine/>
    <w:qFormat/>
    <w:uiPriority w:val="0"/>
    <w:rPr>
      <w:rFonts w:ascii="宋体" w:hAnsi="Courier New" w:eastAsia="宋体" w:cs="Courier New"/>
      <w:kern w:val="2"/>
      <w:sz w:val="21"/>
      <w:szCs w:val="21"/>
      <w:lang w:val="en-US" w:eastAsia="zh-CN" w:bidi="ar-SA"/>
    </w:rPr>
  </w:style>
  <w:style w:type="character" w:customStyle="1" w:styleId="137">
    <w:name w:val="标题 2 Char"/>
    <w:link w:val="3"/>
    <w:autoRedefine/>
    <w:qFormat/>
    <w:uiPriority w:val="0"/>
    <w:rPr>
      <w:rFonts w:ascii="Arial" w:hAnsi="Arial" w:eastAsia="黑体"/>
      <w:b/>
      <w:bCs/>
      <w:sz w:val="32"/>
      <w:szCs w:val="32"/>
    </w:rPr>
  </w:style>
  <w:style w:type="character" w:customStyle="1" w:styleId="138">
    <w:name w:val="hover"/>
    <w:basedOn w:val="38"/>
    <w:autoRedefine/>
    <w:qFormat/>
    <w:uiPriority w:val="0"/>
  </w:style>
  <w:style w:type="character" w:customStyle="1" w:styleId="139">
    <w:name w:val="标题 4 Char"/>
    <w:link w:val="5"/>
    <w:autoRedefine/>
    <w:qFormat/>
    <w:uiPriority w:val="0"/>
    <w:rPr>
      <w:rFonts w:ascii="Arial" w:hAnsi="Arial" w:eastAsia="黑体"/>
      <w:b/>
      <w:bCs/>
      <w:kern w:val="2"/>
      <w:sz w:val="28"/>
      <w:szCs w:val="28"/>
      <w:lang w:val="en-US" w:eastAsia="zh-CN" w:bidi="ar-SA"/>
    </w:rPr>
  </w:style>
  <w:style w:type="character" w:customStyle="1" w:styleId="140">
    <w:name w:val="标题 1 Char"/>
    <w:link w:val="2"/>
    <w:autoRedefine/>
    <w:qFormat/>
    <w:uiPriority w:val="0"/>
    <w:rPr>
      <w:rFonts w:ascii="宋体" w:hAnsi="宋体" w:eastAsia="宋体"/>
      <w:color w:val="000000"/>
      <w:sz w:val="30"/>
      <w:szCs w:val="18"/>
      <w:lang w:val="en-US" w:eastAsia="zh-CN" w:bidi="ar-SA"/>
    </w:rPr>
  </w:style>
  <w:style w:type="character" w:customStyle="1" w:styleId="141">
    <w:name w:val="Char Char"/>
    <w:autoRedefine/>
    <w:qFormat/>
    <w:uiPriority w:val="0"/>
    <w:rPr>
      <w:rFonts w:ascii="宋体" w:hAnsi="Courier New" w:eastAsia="宋体" w:cs="Courier New"/>
      <w:kern w:val="2"/>
      <w:sz w:val="21"/>
      <w:szCs w:val="21"/>
      <w:lang w:val="en-US" w:eastAsia="zh-CN" w:bidi="ar-SA"/>
    </w:rPr>
  </w:style>
  <w:style w:type="character" w:customStyle="1" w:styleId="142">
    <w:name w:val="apple-converted-space"/>
    <w:basedOn w:val="38"/>
    <w:autoRedefine/>
    <w:qFormat/>
    <w:uiPriority w:val="0"/>
  </w:style>
  <w:style w:type="character" w:customStyle="1" w:styleId="143">
    <w:name w:val="样式 仿宋_GB2312 四号 蓝色 左 行距: 固定值 28 磅 Char Char"/>
    <w:link w:val="79"/>
    <w:autoRedefine/>
    <w:qFormat/>
    <w:uiPriority w:val="0"/>
    <w:rPr>
      <w:rFonts w:ascii="方正仿宋_GB2312" w:hAnsi="宋体" w:eastAsia="方正仿宋_GB2312" w:cs="宋体"/>
      <w:kern w:val="2"/>
      <w:sz w:val="28"/>
      <w:szCs w:val="21"/>
      <w:lang w:val="en-US" w:eastAsia="zh-CN" w:bidi="ar-SA"/>
    </w:rPr>
  </w:style>
  <w:style w:type="table" w:customStyle="1" w:styleId="144">
    <w:name w:val="网格型浅色1"/>
    <w:basedOn w:val="36"/>
    <w:autoRedefine/>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CellMar>
        <w:top w:w="0" w:type="dxa"/>
        <w:left w:w="108" w:type="dxa"/>
        <w:bottom w:w="0" w:type="dxa"/>
        <w:right w:w="108" w:type="dxa"/>
      </w:tblCellMar>
    </w:tblPr>
  </w:style>
  <w:style w:type="paragraph" w:styleId="145">
    <w:name w:val="List Paragraph"/>
    <w:basedOn w:val="1"/>
    <w:autoRedefine/>
    <w:unhideWhenUsed/>
    <w:qFormat/>
    <w:uiPriority w:val="99"/>
    <w:pPr>
      <w:ind w:firstLine="420" w:firstLineChars="200"/>
    </w:pPr>
  </w:style>
  <w:style w:type="character" w:customStyle="1" w:styleId="146">
    <w:name w:val="hover5"/>
    <w:basedOn w:val="38"/>
    <w:autoRedefine/>
    <w:qFormat/>
    <w:uiPriority w:val="0"/>
  </w:style>
  <w:style w:type="character" w:customStyle="1" w:styleId="147">
    <w:name w:val="hover16"/>
    <w:basedOn w:val="38"/>
    <w:autoRedefine/>
    <w:qFormat/>
    <w:uiPriority w:val="0"/>
  </w:style>
  <w:style w:type="paragraph" w:customStyle="1" w:styleId="148">
    <w:name w:val="Table Paragraph"/>
    <w:basedOn w:val="1"/>
    <w:autoRedefine/>
    <w:unhideWhenUsed/>
    <w:qFormat/>
    <w:uiPriority w:val="1"/>
    <w:rPr>
      <w:sz w:val="24"/>
    </w:rPr>
  </w:style>
  <w:style w:type="character" w:customStyle="1" w:styleId="149">
    <w:name w:val="正文文本缩进 Char"/>
    <w:basedOn w:val="38"/>
    <w:link w:val="13"/>
    <w:autoRedefine/>
    <w:qFormat/>
    <w:uiPriority w:val="0"/>
    <w:rPr>
      <w:rFonts w:ascii="宋体" w:hAnsi="宋体" w:eastAsia="宋体" w:cs="Times New Roman"/>
      <w:kern w:val="2"/>
      <w:sz w:val="30"/>
      <w:szCs w:val="24"/>
    </w:rPr>
  </w:style>
  <w:style w:type="paragraph" w:customStyle="1" w:styleId="150">
    <w:name w:val="协议书标题2"/>
    <w:basedOn w:val="3"/>
    <w:next w:val="1"/>
    <w:autoRedefine/>
    <w:qFormat/>
    <w:uiPriority w:val="0"/>
    <w:pPr>
      <w:keepNext w:val="0"/>
      <w:keepLines w:val="0"/>
      <w:numPr>
        <w:ilvl w:val="0"/>
        <w:numId w:val="1"/>
      </w:numPr>
      <w:tabs>
        <w:tab w:val="left" w:pos="567"/>
      </w:tabs>
      <w:wordWrap w:val="0"/>
      <w:topLinePunct/>
      <w:adjustRightInd w:val="0"/>
      <w:snapToGrid w:val="0"/>
      <w:spacing w:before="0" w:afterLines="50" w:line="360" w:lineRule="auto"/>
      <w:ind w:firstLine="0"/>
      <w:jc w:val="left"/>
    </w:pPr>
    <w:rPr>
      <w:rFonts w:ascii="宋体" w:hAnsi="宋体" w:eastAsia="宋体"/>
      <w:kern w:val="0"/>
      <w:sz w:val="24"/>
      <w:szCs w:val="22"/>
    </w:rPr>
  </w:style>
  <w:style w:type="paragraph" w:customStyle="1" w:styleId="151">
    <w:name w:val="table"/>
    <w:autoRedefine/>
    <w:qFormat/>
    <w:uiPriority w:val="0"/>
    <w:pPr>
      <w:framePr w:hSpace="180" w:wrap="around" w:vAnchor="text" w:hAnchor="margin" w:y="1418"/>
      <w:adjustRightInd w:val="0"/>
      <w:snapToGrid w:val="0"/>
    </w:pPr>
    <w:rPr>
      <w:rFonts w:ascii="宋体" w:hAnsi="Calibri" w:eastAsiaTheme="minorEastAsia" w:cstheme="minorBidi"/>
      <w:kern w:val="2"/>
      <w:sz w:val="24"/>
      <w:szCs w:val="22"/>
      <w:lang w:val="en-US" w:eastAsia="zh-CN" w:bidi="ar-SA"/>
    </w:rPr>
  </w:style>
  <w:style w:type="paragraph" w:customStyle="1" w:styleId="152">
    <w:name w:val="TOC 标题2"/>
    <w:basedOn w:val="2"/>
    <w:next w:val="1"/>
    <w:autoRedefine/>
    <w:qFormat/>
    <w:uiPriority w:val="0"/>
    <w:pPr>
      <w:wordWrap w:val="0"/>
      <w:topLinePunct/>
      <w:spacing w:before="260" w:afterLines="50" w:line="413" w:lineRule="auto"/>
      <w:ind w:firstLine="480" w:firstLineChars="200"/>
      <w:jc w:val="center"/>
    </w:pPr>
    <w:rPr>
      <w:rFonts w:ascii="宋体" w:hAnsi="宋体"/>
      <w:kern w:val="0"/>
      <w:sz w:val="36"/>
      <w:lang w:val="zh-CN" w:eastAsia="en-US"/>
    </w:rPr>
  </w:style>
  <w:style w:type="paragraph" w:customStyle="1" w:styleId="153">
    <w:name w:val="通用标题2"/>
    <w:basedOn w:val="3"/>
    <w:next w:val="1"/>
    <w:autoRedefine/>
    <w:qFormat/>
    <w:uiPriority w:val="0"/>
    <w:pPr>
      <w:keepNext w:val="0"/>
      <w:keepLines w:val="0"/>
      <w:numPr>
        <w:ilvl w:val="0"/>
        <w:numId w:val="2"/>
      </w:numPr>
      <w:tabs>
        <w:tab w:val="left" w:pos="993"/>
      </w:tabs>
      <w:wordWrap w:val="0"/>
      <w:topLinePunct/>
      <w:adjustRightInd w:val="0"/>
      <w:snapToGrid w:val="0"/>
      <w:spacing w:before="0" w:afterLines="50" w:line="360" w:lineRule="auto"/>
      <w:jc w:val="center"/>
    </w:pPr>
    <w:rPr>
      <w:rFonts w:ascii="黑体" w:hAnsi="黑体" w:eastAsiaTheme="minorEastAsia"/>
      <w:kern w:val="0"/>
      <w:sz w:val="28"/>
      <w:szCs w:val="22"/>
    </w:rPr>
  </w:style>
  <w:style w:type="paragraph" w:customStyle="1" w:styleId="154">
    <w:name w:val="通用标题3"/>
    <w:next w:val="1"/>
    <w:autoRedefine/>
    <w:qFormat/>
    <w:uiPriority w:val="0"/>
    <w:pPr>
      <w:widowControl w:val="0"/>
      <w:numPr>
        <w:ilvl w:val="1"/>
        <w:numId w:val="3"/>
      </w:numPr>
      <w:tabs>
        <w:tab w:val="left" w:pos="851"/>
      </w:tabs>
      <w:adjustRightInd w:val="0"/>
      <w:snapToGrid w:val="0"/>
      <w:spacing w:afterLines="50" w:line="360" w:lineRule="auto"/>
      <w:jc w:val="both"/>
      <w:outlineLvl w:val="2"/>
    </w:pPr>
    <w:rPr>
      <w:rFonts w:ascii="黑体" w:hAnsi="黑体" w:eastAsia="黑体" w:cstheme="minorBidi"/>
      <w:b/>
      <w:kern w:val="2"/>
      <w:sz w:val="24"/>
      <w:szCs w:val="24"/>
      <w:lang w:val="en-US" w:eastAsia="zh-CN" w:bidi="ar-SA"/>
    </w:rPr>
  </w:style>
  <w:style w:type="paragraph" w:customStyle="1" w:styleId="155">
    <w:name w:val="通用标题4"/>
    <w:next w:val="1"/>
    <w:autoRedefine/>
    <w:qFormat/>
    <w:uiPriority w:val="0"/>
    <w:pPr>
      <w:numPr>
        <w:ilvl w:val="2"/>
        <w:numId w:val="3"/>
      </w:numPr>
      <w:tabs>
        <w:tab w:val="left" w:pos="851"/>
      </w:tabs>
      <w:adjustRightInd w:val="0"/>
      <w:snapToGrid w:val="0"/>
      <w:spacing w:afterLines="50" w:line="360" w:lineRule="auto"/>
      <w:jc w:val="both"/>
      <w:outlineLvl w:val="3"/>
    </w:pPr>
    <w:rPr>
      <w:rFonts w:ascii="宋体" w:hAnsi="宋体" w:eastAsiaTheme="minorEastAsia" w:cstheme="minorBidi"/>
      <w:kern w:val="2"/>
      <w:sz w:val="24"/>
      <w:szCs w:val="21"/>
      <w:lang w:val="en-US" w:eastAsia="zh-CN" w:bidi="ar-SA"/>
    </w:rPr>
  </w:style>
  <w:style w:type="paragraph" w:customStyle="1" w:styleId="156">
    <w:name w:val="通用标题5"/>
    <w:autoRedefine/>
    <w:qFormat/>
    <w:uiPriority w:val="0"/>
    <w:pPr>
      <w:widowControl w:val="0"/>
      <w:numPr>
        <w:ilvl w:val="3"/>
        <w:numId w:val="3"/>
      </w:numPr>
      <w:tabs>
        <w:tab w:val="left" w:pos="1134"/>
      </w:tabs>
      <w:autoSpaceDE w:val="0"/>
      <w:autoSpaceDN w:val="0"/>
      <w:adjustRightInd w:val="0"/>
      <w:snapToGrid w:val="0"/>
      <w:spacing w:afterLines="50" w:line="360" w:lineRule="auto"/>
      <w:jc w:val="both"/>
    </w:pPr>
    <w:rPr>
      <w:rFonts w:ascii="宋体" w:hAnsi="宋体" w:eastAsiaTheme="minorEastAsia" w:cstheme="minorBidi"/>
      <w:kern w:val="2"/>
      <w:sz w:val="24"/>
      <w:szCs w:val="21"/>
      <w:lang w:val="en-US" w:eastAsia="zh-CN" w:bidi="ar-SA"/>
    </w:rPr>
  </w:style>
  <w:style w:type="paragraph" w:customStyle="1" w:styleId="157">
    <w:name w:val="通用标题6"/>
    <w:basedOn w:val="1"/>
    <w:autoRedefine/>
    <w:qFormat/>
    <w:uiPriority w:val="0"/>
    <w:pPr>
      <w:widowControl/>
      <w:numPr>
        <w:ilvl w:val="4"/>
        <w:numId w:val="3"/>
      </w:numPr>
      <w:tabs>
        <w:tab w:val="left" w:pos="993"/>
      </w:tabs>
      <w:adjustRightInd w:val="0"/>
      <w:snapToGrid w:val="0"/>
      <w:spacing w:afterLines="50" w:line="360" w:lineRule="auto"/>
      <w:ind w:left="310"/>
    </w:pPr>
    <w:rPr>
      <w:rFonts w:ascii="宋体" w:hAnsi="宋体" w:eastAsiaTheme="minorEastAsia" w:cstheme="minorBidi"/>
      <w:kern w:val="0"/>
      <w:sz w:val="24"/>
      <w:szCs w:val="22"/>
    </w:rPr>
  </w:style>
  <w:style w:type="paragraph" w:customStyle="1" w:styleId="158">
    <w:name w:val="专用标题2"/>
    <w:basedOn w:val="3"/>
    <w:next w:val="1"/>
    <w:autoRedefine/>
    <w:qFormat/>
    <w:uiPriority w:val="0"/>
    <w:pPr>
      <w:keepNext w:val="0"/>
      <w:keepLines w:val="0"/>
      <w:tabs>
        <w:tab w:val="left" w:pos="993"/>
      </w:tabs>
      <w:adjustRightInd w:val="0"/>
      <w:snapToGrid w:val="0"/>
      <w:spacing w:before="0" w:afterLines="50" w:line="360" w:lineRule="auto"/>
      <w:ind w:left="3851"/>
      <w:jc w:val="center"/>
    </w:pPr>
    <w:rPr>
      <w:rFonts w:ascii="宋体" w:hAnsi="宋体" w:eastAsia="宋体" w:cs="Chiller"/>
      <w:kern w:val="0"/>
      <w:sz w:val="28"/>
      <w:szCs w:val="22"/>
    </w:rPr>
  </w:style>
  <w:style w:type="paragraph" w:customStyle="1" w:styleId="159">
    <w:name w:val="附件标题"/>
    <w:basedOn w:val="3"/>
    <w:next w:val="1"/>
    <w:autoRedefine/>
    <w:qFormat/>
    <w:uiPriority w:val="0"/>
    <w:pPr>
      <w:numPr>
        <w:ilvl w:val="0"/>
        <w:numId w:val="4"/>
      </w:numPr>
      <w:tabs>
        <w:tab w:val="left" w:pos="1134"/>
      </w:tabs>
      <w:wordWrap w:val="0"/>
      <w:topLinePunct/>
      <w:adjustRightInd w:val="0"/>
      <w:snapToGrid w:val="0"/>
      <w:spacing w:before="0" w:afterLines="50" w:line="360" w:lineRule="auto"/>
      <w:ind w:firstLine="0"/>
      <w:jc w:val="center"/>
    </w:pPr>
    <w:rPr>
      <w:rFonts w:ascii="黑体" w:hAnsi="黑体" w:eastAsiaTheme="minorEastAsia"/>
      <w:kern w:val="0"/>
      <w:sz w:val="30"/>
      <w:szCs w:val="30"/>
    </w:rPr>
  </w:style>
  <w:style w:type="paragraph" w:styleId="160">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61">
    <w:name w:val="WPSOffice手动目录 1"/>
    <w:autoRedefine/>
    <w:qFormat/>
    <w:uiPriority w:val="0"/>
    <w:pPr>
      <w:ind w:leftChars="0"/>
    </w:pPr>
    <w:rPr>
      <w:rFonts w:ascii="Times New Roman" w:hAnsi="Times New Roman" w:eastAsia="宋体" w:cs="Times New Roman"/>
      <w:sz w:val="20"/>
      <w:szCs w:val="20"/>
    </w:rPr>
  </w:style>
  <w:style w:type="character" w:customStyle="1" w:styleId="162">
    <w:name w:val="样式 楷体_GB2312 四号 加粗"/>
    <w:basedOn w:val="38"/>
    <w:autoRedefine/>
    <w:qFormat/>
    <w:uiPriority w:val="99"/>
    <w:rPr>
      <w:rFonts w:ascii="方正仿宋_GB2312" w:hAnsi="方正仿宋_GB2312" w:eastAsia="方正仿宋_GB2312" w:cs="方正仿宋_GB2312"/>
      <w:b/>
      <w:bCs/>
      <w:sz w:val="28"/>
      <w:szCs w:val="28"/>
    </w:rPr>
  </w:style>
  <w:style w:type="paragraph" w:customStyle="1" w:styleId="163">
    <w:name w:val="文档正文"/>
    <w:basedOn w:val="1"/>
    <w:autoRedefine/>
    <w:qFormat/>
    <w:uiPriority w:val="99"/>
    <w:pPr>
      <w:adjustRightInd w:val="0"/>
      <w:spacing w:line="480" w:lineRule="atLeast"/>
      <w:ind w:firstLine="567"/>
      <w:textAlignment w:val="baseline"/>
    </w:pPr>
    <w:rPr>
      <w:rFonts w:ascii="方正仿宋_GB2312" w:eastAsia="方正仿宋_GB2312" w:cs="方正仿宋_GB2312"/>
      <w:kern w:val="0"/>
      <w:sz w:val="28"/>
      <w:szCs w:val="28"/>
    </w:rPr>
  </w:style>
  <w:style w:type="character" w:customStyle="1" w:styleId="164">
    <w:name w:val="not([class*=suffix])"/>
    <w:basedOn w:val="38"/>
    <w:autoRedefine/>
    <w:qFormat/>
    <w:uiPriority w:val="0"/>
    <w:rPr>
      <w:sz w:val="19"/>
      <w:szCs w:val="19"/>
    </w:rPr>
  </w:style>
  <w:style w:type="character" w:customStyle="1" w:styleId="165">
    <w:name w:val="not([class*=suffix])1"/>
    <w:basedOn w:val="38"/>
    <w:autoRedefine/>
    <w:qFormat/>
    <w:uiPriority w:val="0"/>
  </w:style>
  <w:style w:type="character" w:customStyle="1" w:styleId="166">
    <w:name w:val="current[data-v-3f48f332]"/>
    <w:basedOn w:val="38"/>
    <w:autoRedefine/>
    <w:qFormat/>
    <w:uiPriority w:val="0"/>
    <w:rPr>
      <w:color w:val="FFFFFF"/>
      <w:shd w:val="clear" w:fill="065CBC"/>
    </w:rPr>
  </w:style>
  <w:style w:type="character" w:customStyle="1" w:styleId="167">
    <w:name w:val="current[data-v-5e1194b2]"/>
    <w:basedOn w:val="38"/>
    <w:autoRedefine/>
    <w:qFormat/>
    <w:uiPriority w:val="0"/>
    <w:rPr>
      <w:color w:val="FFFFFF"/>
      <w:shd w:val="clear" w:fill="065CBC"/>
    </w:rPr>
  </w:style>
  <w:style w:type="character" w:customStyle="1" w:styleId="168">
    <w:name w:val="active[data-v-3f5430ea]"/>
    <w:basedOn w:val="38"/>
    <w:autoRedefine/>
    <w:qFormat/>
    <w:uiPriority w:val="0"/>
    <w:rPr>
      <w:rFonts w:ascii="Microsoft YaHei UI" w:hAnsi="Microsoft YaHei UI" w:eastAsia="Microsoft YaHei UI" w:cs="Microsoft YaHei UI"/>
      <w:b/>
      <w:bCs/>
      <w:color w:val="2874E4"/>
      <w:sz w:val="24"/>
      <w:szCs w:val="24"/>
    </w:rPr>
  </w:style>
  <w:style w:type="table" w:customStyle="1" w:styleId="169">
    <w:name w:val="Table Normal"/>
    <w:autoRedefine/>
    <w:semiHidden/>
    <w:unhideWhenUsed/>
    <w:qFormat/>
    <w:uiPriority w:val="0"/>
    <w:tblPr>
      <w:tblCellMar>
        <w:top w:w="0" w:type="dxa"/>
        <w:left w:w="0" w:type="dxa"/>
        <w:bottom w:w="0" w:type="dxa"/>
        <w:right w:w="0" w:type="dxa"/>
      </w:tblCellMar>
    </w:tblPr>
  </w:style>
  <w:style w:type="character" w:customStyle="1" w:styleId="170">
    <w:name w:val="before"/>
    <w:basedOn w:val="38"/>
    <w:qFormat/>
    <w:uiPriority w:val="0"/>
    <w:rPr>
      <w:shd w:val="clear" w:fill="0085FF"/>
    </w:rPr>
  </w:style>
  <w:style w:type="character" w:customStyle="1" w:styleId="171">
    <w:name w:val="layui-layer-tabnow"/>
    <w:basedOn w:val="38"/>
    <w:qFormat/>
    <w:uiPriority w:val="0"/>
    <w:rPr>
      <w:bdr w:val="single" w:color="CCCCCC" w:sz="6" w:space="0"/>
      <w:shd w:val="clear" w:fill="FFFFFF"/>
    </w:rPr>
  </w:style>
  <w:style w:type="character" w:customStyle="1" w:styleId="172">
    <w:name w:val="first-child"/>
    <w:basedOn w:val="38"/>
    <w:qFormat/>
    <w:uiPriority w:val="0"/>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header" Target="header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yhcompany</Company>
  <Pages>64</Pages>
  <Words>23852</Words>
  <Characters>26020</Characters>
  <Lines>257</Lines>
  <Paragraphs>72</Paragraphs>
  <TotalTime>107</TotalTime>
  <ScaleCrop>false</ScaleCrop>
  <LinksUpToDate>false</LinksUpToDate>
  <CharactersWithSpaces>34828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2020-12-02T01:32:00Z</dcterms:created>
  <dc:creator>wzl</dc:creator>
  <cp:lastModifiedBy>WPS_1713520408</cp:lastModifiedBy>
  <cp:lastPrinted>2024-01-23T10:53:00Z</cp:lastPrinted>
  <dcterms:modified xsi:type="dcterms:W3CDTF">2024-06-11T07:45:32Z</dcterms:modified>
  <dc:title>河南省荥阳市广王土地整理项目</dc:title>
  <cp:revision>1250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E41F9BD8802C45F0B022570B345E5FA2_13</vt:lpwstr>
  </property>
  <property fmtid="{D5CDD505-2E9C-101B-9397-08002B2CF9AE}" pid="3" name="KSOProductBuildVer">
    <vt:lpwstr>2052-12.1.0.16929</vt:lpwstr>
  </property>
</Properties>
</file>