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ackground w:color="ffffff">
    <v:background id="_x0000_s1025" filled="t"/>
  </w:background>
  <w:body>
    <w:p>
      <w:pPr>
        <w:spacing w:before="240" w:beforeLines="100" w:after="240" w:afterLines="100" w:line="360" w:lineRule="auto"/>
        <w:jc w:val="center"/>
        <w:rPr>
          <w:rFonts w:ascii="仿宋" w:eastAsia="仿宋" w:hAnsi="仿宋" w:cs="仿宋"/>
          <w:b/>
          <w:bCs/>
          <w:sz w:val="52"/>
          <w:szCs w:val="52"/>
        </w:rPr>
      </w:pPr>
    </w:p>
    <w:p>
      <w:pPr>
        <w:spacing w:before="240" w:beforeLines="100" w:after="240" w:afterLines="100" w:line="360" w:lineRule="auto"/>
        <w:jc w:val="center"/>
        <w:rPr>
          <w:rFonts w:ascii="宋体" w:eastAsia="宋体" w:hAnsi="宋体" w:cs="宋体" w:hint="eastAsia"/>
          <w:b/>
          <w:bCs/>
          <w:sz w:val="52"/>
          <w:szCs w:val="52"/>
          <w:lang w:eastAsia="zh-CN"/>
        </w:rPr>
      </w:pPr>
      <w:r>
        <w:rPr>
          <w:rFonts w:ascii="宋体" w:hAnsi="宋体" w:cs="宋体" w:hint="eastAsia"/>
          <w:b/>
          <w:bCs/>
          <w:sz w:val="52"/>
          <w:szCs w:val="52"/>
        </w:rPr>
        <w:t>安阳市公安局交通管理支队2023年度痕迹物证类鉴定项目</w:t>
      </w:r>
      <w:r>
        <w:rPr>
          <w:rFonts w:ascii="宋体" w:hAnsi="宋体" w:cs="宋体" w:hint="eastAsia"/>
          <w:b/>
          <w:bCs/>
          <w:sz w:val="52"/>
          <w:szCs w:val="52"/>
          <w:lang w:eastAsia="zh-CN"/>
        </w:rPr>
        <w:t>（</w:t>
      </w:r>
      <w:r>
        <w:rPr>
          <w:rFonts w:ascii="宋体" w:hAnsi="宋体" w:cs="宋体" w:hint="eastAsia"/>
          <w:b/>
          <w:bCs/>
          <w:sz w:val="52"/>
          <w:szCs w:val="52"/>
          <w:lang w:val="en-US" w:eastAsia="zh-CN"/>
        </w:rPr>
        <w:t>二次</w:t>
      </w:r>
      <w:bookmarkStart w:id="0" w:name="_GoBack"/>
      <w:bookmarkEnd w:id="0"/>
      <w:r>
        <w:rPr>
          <w:rFonts w:ascii="宋体" w:hAnsi="宋体" w:cs="宋体" w:hint="eastAsia"/>
          <w:b/>
          <w:bCs/>
          <w:sz w:val="52"/>
          <w:szCs w:val="52"/>
          <w:lang w:eastAsia="zh-CN"/>
        </w:rPr>
        <w:t>）</w:t>
      </w:r>
    </w:p>
    <w:p>
      <w:pPr>
        <w:spacing w:before="240" w:beforeLines="100" w:after="240" w:afterLines="100" w:line="360" w:lineRule="auto"/>
        <w:jc w:val="center"/>
        <w:rPr>
          <w:rFonts w:ascii="宋体" w:hAnsi="宋体" w:cs="宋体"/>
          <w:b/>
          <w:bCs/>
          <w:sz w:val="52"/>
          <w:szCs w:val="52"/>
        </w:rPr>
      </w:pPr>
    </w:p>
    <w:p>
      <w:pPr>
        <w:spacing w:before="240" w:beforeLines="100" w:after="240" w:afterLines="100" w:line="360" w:lineRule="auto"/>
        <w:jc w:val="center"/>
        <w:rPr>
          <w:rFonts w:asciiTheme="minorEastAsia" w:eastAsiaTheme="minorEastAsia" w:hAnsiTheme="minorEastAsia" w:cstheme="minorEastAsia" w:hint="eastAsia"/>
          <w:b/>
          <w:bCs/>
          <w:sz w:val="96"/>
          <w:szCs w:val="96"/>
        </w:rPr>
      </w:pPr>
      <w:r>
        <w:rPr>
          <w:rFonts w:asciiTheme="minorEastAsia" w:eastAsiaTheme="minorEastAsia" w:hAnsiTheme="minorEastAsia" w:cstheme="minorEastAsia" w:hint="eastAsia"/>
          <w:b/>
          <w:bCs/>
          <w:sz w:val="96"/>
          <w:szCs w:val="96"/>
        </w:rPr>
        <w:t>谈判文件</w:t>
      </w:r>
    </w:p>
    <w:p>
      <w:pPr>
        <w:spacing w:before="75" w:line="227" w:lineRule="auto"/>
        <w:ind w:firstLine="2520" w:firstLineChars="700"/>
        <w:rPr>
          <w:rFonts w:ascii="仿宋_GB2312" w:eastAsia="仿宋_GB2312" w:hAnsi="宋体" w:hint="eastAsia"/>
          <w:b/>
          <w:sz w:val="36"/>
          <w:szCs w:val="36"/>
        </w:rPr>
      </w:pPr>
      <w:r>
        <w:rPr>
          <w:rFonts w:ascii="仿宋_GB2312" w:eastAsia="仿宋_GB2312" w:hAnsi="宋体" w:hint="eastAsia"/>
          <w:b/>
          <w:sz w:val="36"/>
          <w:szCs w:val="36"/>
        </w:rPr>
        <w:t>采购编号：安财竞谈-2023-36</w:t>
      </w:r>
    </w:p>
    <w:p>
      <w:pPr>
        <w:pStyle w:val="List2"/>
        <w:ind w:left="0" w:firstLine="0" w:leftChars="0" w:firstLineChars="0"/>
        <w:rPr>
          <w:rFonts w:ascii="仿宋_GB2312" w:eastAsia="仿宋_GB2312" w:hAnsi="宋体"/>
          <w:b/>
          <w:sz w:val="36"/>
          <w:szCs w:val="36"/>
        </w:rPr>
      </w:pPr>
    </w:p>
    <w:p>
      <w:pPr>
        <w:pStyle w:val="List2"/>
        <w:ind w:left="0" w:firstLine="0" w:leftChars="0" w:firstLineChars="0"/>
        <w:rPr>
          <w:rFonts w:ascii="仿宋_GB2312" w:eastAsia="仿宋_GB2312" w:hAnsi="宋体"/>
          <w:b/>
          <w:sz w:val="36"/>
          <w:szCs w:val="36"/>
        </w:rPr>
      </w:pPr>
    </w:p>
    <w:p>
      <w:pPr>
        <w:pStyle w:val="List2"/>
        <w:ind w:left="0" w:firstLine="0" w:leftChars="0" w:firstLineChars="0"/>
        <w:rPr>
          <w:rFonts w:ascii="仿宋_GB2312" w:eastAsia="仿宋_GB2312" w:hAnsi="宋体"/>
          <w:b/>
          <w:sz w:val="36"/>
          <w:szCs w:val="36"/>
        </w:rPr>
      </w:pPr>
    </w:p>
    <w:p>
      <w:pPr>
        <w:pStyle w:val="List2"/>
        <w:ind w:left="0" w:firstLine="0" w:leftChars="0" w:firstLineChars="0"/>
        <w:rPr>
          <w:rFonts w:ascii="仿宋_GB2312" w:eastAsia="仿宋_GB2312" w:hAnsi="宋体"/>
          <w:b/>
          <w:sz w:val="36"/>
          <w:szCs w:val="36"/>
        </w:rPr>
      </w:pPr>
    </w:p>
    <w:p>
      <w:pPr>
        <w:spacing w:before="240" w:beforeLines="100" w:after="240" w:afterLines="100" w:line="360" w:lineRule="auto"/>
        <w:ind w:firstLine="720" w:firstLineChars="200"/>
        <w:rPr>
          <w:rFonts w:ascii="宋体" w:hAnsi="宋体" w:cs="宋体"/>
          <w:b/>
          <w:bCs/>
          <w:sz w:val="36"/>
          <w:szCs w:val="36"/>
        </w:rPr>
      </w:pPr>
      <w:r>
        <w:rPr>
          <w:rFonts w:ascii="宋体" w:hAnsi="宋体" w:cs="宋体" w:hint="eastAsia"/>
          <w:b/>
          <w:bCs/>
          <w:sz w:val="36"/>
          <w:szCs w:val="36"/>
        </w:rPr>
        <w:t>采 购 人：安阳市公安局交通管理支队</w:t>
      </w:r>
    </w:p>
    <w:p>
      <w:pPr>
        <w:spacing w:before="240" w:beforeLines="100" w:after="240" w:afterLines="100" w:line="360" w:lineRule="auto"/>
        <w:ind w:firstLine="720" w:firstLineChars="200"/>
        <w:rPr>
          <w:rFonts w:ascii="宋体" w:hAnsi="宋体" w:cs="宋体"/>
          <w:b/>
          <w:bCs/>
          <w:sz w:val="36"/>
          <w:szCs w:val="36"/>
        </w:rPr>
      </w:pPr>
      <w:r>
        <w:rPr>
          <w:rFonts w:ascii="宋体" w:hAnsi="宋体" w:cs="宋体" w:hint="eastAsia"/>
          <w:b/>
          <w:bCs/>
          <w:sz w:val="36"/>
          <w:szCs w:val="36"/>
        </w:rPr>
        <w:t>招标代理：之京城市管理集团有限责任公司</w:t>
      </w:r>
    </w:p>
    <w:p>
      <w:pPr>
        <w:spacing w:before="240" w:beforeLines="100" w:after="240" w:afterLines="100" w:line="360" w:lineRule="auto"/>
        <w:ind w:firstLine="720" w:firstLineChars="200"/>
        <w:rPr>
          <w:rFonts w:ascii="宋体" w:eastAsia="宋体" w:hAnsi="宋体" w:hint="eastAsia"/>
          <w:b/>
          <w:sz w:val="36"/>
          <w:szCs w:val="36"/>
          <w:lang w:val="en-US" w:eastAsia="zh-CN"/>
        </w:rPr>
      </w:pPr>
      <w:r>
        <w:rPr>
          <w:rFonts w:ascii="宋体" w:hAnsi="宋体" w:cs="宋体" w:hint="eastAsia"/>
          <w:b/>
          <w:bCs/>
          <w:sz w:val="36"/>
          <w:szCs w:val="36"/>
        </w:rPr>
        <w:t>日    期：二〇二三年</w:t>
      </w:r>
      <w:r>
        <w:rPr>
          <w:rFonts w:ascii="宋体" w:hAnsi="宋体" w:cs="宋体" w:hint="eastAsia"/>
          <w:b/>
          <w:bCs/>
          <w:sz w:val="36"/>
          <w:szCs w:val="36"/>
          <w:lang w:val="en-US" w:eastAsia="zh-CN"/>
        </w:rPr>
        <w:t>九月</w:t>
      </w:r>
    </w:p>
    <w:p>
      <w:pPr>
        <w:pageBreakBefore/>
        <w:spacing w:before="240" w:beforeLines="100" w:after="240" w:afterLines="100" w:line="360" w:lineRule="auto"/>
        <w:jc w:val="center"/>
        <w:rPr>
          <w:rFonts w:ascii="宋体" w:hAnsi="宋体"/>
          <w:b/>
          <w:sz w:val="36"/>
          <w:szCs w:val="36"/>
        </w:rPr>
        <w:sectPr>
          <w:footerReference w:type="default" r:id="rId6"/>
          <w:pgSz w:w="11905" w:h="16837"/>
          <w:pgMar w:top="1078" w:right="1024" w:bottom="1007" w:left="1425" w:header="0" w:footer="760" w:gutter="0"/>
          <w:cols w:num="1" w:space="720"/>
        </w:sectPr>
      </w:pPr>
    </w:p>
    <w:p>
      <w:pPr>
        <w:pStyle w:val="List2"/>
        <w:ind w:left="840" w:hanging="420"/>
      </w:pPr>
    </w:p>
    <w:p>
      <w:pPr>
        <w:spacing w:before="240" w:beforeLines="100" w:after="240" w:afterLines="100" w:line="360" w:lineRule="auto"/>
        <w:jc w:val="center"/>
        <w:rPr>
          <w:rFonts w:ascii="宋体" w:hAnsi="宋体"/>
          <w:b/>
          <w:sz w:val="44"/>
          <w:szCs w:val="44"/>
        </w:rPr>
      </w:pPr>
      <w:r>
        <w:rPr>
          <w:rFonts w:ascii="宋体" w:hAnsi="宋体" w:hint="eastAsia"/>
          <w:b/>
          <w:sz w:val="44"/>
          <w:szCs w:val="44"/>
        </w:rPr>
        <w:t>目     录</w:t>
      </w:r>
    </w:p>
    <w:p>
      <w:pPr>
        <w:pStyle w:val="TOC1"/>
        <w:rPr>
          <w:rFonts w:ascii="仿宋" w:eastAsia="仿宋" w:hAnsi="仿宋"/>
          <w:b w:val="0"/>
          <w:sz w:val="32"/>
          <w:szCs w:val="32"/>
        </w:rPr>
      </w:pPr>
      <w:r>
        <w:rPr>
          <w:rFonts w:ascii="仿宋" w:eastAsia="仿宋" w:hAnsi="仿宋"/>
          <w:sz w:val="32"/>
          <w:szCs w:val="32"/>
        </w:rPr>
        <w:fldChar w:fldCharType="begin"/>
      </w:r>
      <w:r>
        <w:rPr>
          <w:rFonts w:ascii="仿宋" w:eastAsia="仿宋" w:hAnsi="仿宋" w:hint="eastAsia"/>
          <w:sz w:val="32"/>
          <w:szCs w:val="32"/>
        </w:rPr>
        <w:instrText>TOC \o "1-1" \h \z \u</w:instrText>
      </w:r>
      <w:r>
        <w:rPr>
          <w:rFonts w:ascii="仿宋" w:eastAsia="仿宋" w:hAnsi="仿宋"/>
          <w:sz w:val="32"/>
          <w:szCs w:val="32"/>
        </w:rPr>
        <w:fldChar w:fldCharType="separate"/>
      </w:r>
      <w:hyperlink w:anchor="_Toc51833322" w:history="1">
        <w:r>
          <w:rPr>
            <w:rStyle w:val="Hyperlink"/>
            <w:rFonts w:ascii="仿宋" w:eastAsia="仿宋" w:hAnsi="仿宋" w:hint="eastAsia"/>
            <w:sz w:val="32"/>
            <w:szCs w:val="32"/>
          </w:rPr>
          <w:t>第一部分 谈判公告</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_Toc51833322 \h </w:instrText>
        </w:r>
        <w:r>
          <w:rPr>
            <w:rFonts w:ascii="仿宋" w:eastAsia="仿宋" w:hAnsi="仿宋"/>
            <w:sz w:val="32"/>
            <w:szCs w:val="32"/>
          </w:rPr>
          <w:fldChar w:fldCharType="separate"/>
        </w:r>
        <w:r>
          <w:rPr>
            <w:rFonts w:ascii="仿宋" w:eastAsia="仿宋" w:hAnsi="仿宋"/>
            <w:sz w:val="32"/>
            <w:szCs w:val="32"/>
          </w:rPr>
          <w:t>1</w:t>
        </w:r>
        <w:r>
          <w:rPr>
            <w:rFonts w:ascii="仿宋" w:eastAsia="仿宋" w:hAnsi="仿宋"/>
            <w:sz w:val="32"/>
            <w:szCs w:val="32"/>
          </w:rPr>
          <w:fldChar w:fldCharType="end"/>
        </w:r>
      </w:hyperlink>
    </w:p>
    <w:p>
      <w:pPr>
        <w:pStyle w:val="TOC1"/>
        <w:rPr>
          <w:rFonts w:ascii="仿宋" w:eastAsia="仿宋" w:hAnsi="仿宋"/>
          <w:b w:val="0"/>
          <w:sz w:val="32"/>
          <w:szCs w:val="32"/>
        </w:rPr>
      </w:pPr>
      <w:hyperlink w:anchor="_Toc51833323" w:history="1">
        <w:r>
          <w:rPr>
            <w:rStyle w:val="Hyperlink"/>
            <w:rFonts w:ascii="仿宋" w:eastAsia="仿宋" w:hAnsi="仿宋" w:hint="eastAsia"/>
            <w:sz w:val="32"/>
            <w:szCs w:val="32"/>
          </w:rPr>
          <w:t>第二部分</w:t>
        </w:r>
        <w:r>
          <w:rPr>
            <w:rStyle w:val="Hyperlink"/>
            <w:rFonts w:ascii="仿宋" w:eastAsia="仿宋" w:hAnsi="仿宋" w:hint="eastAsia"/>
            <w:sz w:val="32"/>
            <w:szCs w:val="32"/>
            <w:lang w:val="en-US" w:eastAsia="zh-CN"/>
          </w:rPr>
          <w:t xml:space="preserve"> </w:t>
        </w:r>
        <w:r>
          <w:rPr>
            <w:rStyle w:val="Hyperlink"/>
            <w:rFonts w:ascii="仿宋" w:eastAsia="仿宋" w:hAnsi="仿宋" w:hint="eastAsia"/>
            <w:sz w:val="32"/>
            <w:szCs w:val="32"/>
          </w:rPr>
          <w:t>采购人需求</w:t>
        </w:r>
        <w:r>
          <w:rPr>
            <w:rFonts w:ascii="仿宋" w:eastAsia="仿宋" w:hAnsi="仿宋"/>
            <w:sz w:val="32"/>
            <w:szCs w:val="32"/>
          </w:rPr>
          <w:tab/>
        </w:r>
        <w:r>
          <w:rPr>
            <w:rFonts w:ascii="仿宋" w:eastAsia="仿宋" w:hAnsi="仿宋" w:hint="eastAsia"/>
            <w:sz w:val="32"/>
            <w:szCs w:val="32"/>
            <w:lang w:val="en-US" w:eastAsia="zh-CN"/>
          </w:rPr>
          <w:t>5</w:t>
        </w:r>
      </w:hyperlink>
    </w:p>
    <w:p>
      <w:pPr>
        <w:pStyle w:val="TOC1"/>
        <w:rPr>
          <w:rFonts w:ascii="仿宋" w:eastAsia="仿宋" w:hAnsi="仿宋" w:hint="eastAsia"/>
          <w:b w:val="0"/>
          <w:sz w:val="32"/>
          <w:szCs w:val="32"/>
          <w:lang w:val="en-US" w:eastAsia="zh-CN"/>
        </w:rPr>
      </w:pPr>
      <w:hyperlink w:anchor="_Toc51833324" w:history="1">
        <w:r>
          <w:rPr>
            <w:rStyle w:val="Hyperlink"/>
            <w:rFonts w:ascii="仿宋" w:eastAsia="仿宋" w:hAnsi="仿宋" w:hint="eastAsia"/>
            <w:sz w:val="32"/>
            <w:szCs w:val="32"/>
          </w:rPr>
          <w:t>第三部分</w:t>
        </w:r>
        <w:r>
          <w:rPr>
            <w:rStyle w:val="Hyperlink"/>
            <w:rFonts w:ascii="仿宋" w:eastAsia="仿宋" w:hAnsi="仿宋" w:hint="eastAsia"/>
            <w:sz w:val="32"/>
            <w:szCs w:val="32"/>
            <w:lang w:val="en-US" w:eastAsia="zh-CN"/>
          </w:rPr>
          <w:t xml:space="preserve"> </w:t>
        </w:r>
        <w:r>
          <w:rPr>
            <w:rStyle w:val="Hyperlink"/>
            <w:rFonts w:ascii="仿宋" w:eastAsia="仿宋" w:hAnsi="仿宋" w:hint="eastAsia"/>
            <w:sz w:val="32"/>
            <w:szCs w:val="32"/>
          </w:rPr>
          <w:t>供应商须知</w:t>
        </w:r>
        <w:r>
          <w:rPr>
            <w:rFonts w:ascii="仿宋" w:eastAsia="仿宋" w:hAnsi="仿宋"/>
            <w:sz w:val="32"/>
            <w:szCs w:val="32"/>
          </w:rPr>
          <w:tab/>
        </w:r>
        <w:r>
          <w:rPr>
            <w:rFonts w:ascii="仿宋" w:eastAsia="仿宋" w:hAnsi="仿宋" w:hint="eastAsia"/>
            <w:sz w:val="32"/>
            <w:szCs w:val="32"/>
            <w:lang w:val="en-US" w:eastAsia="zh-CN"/>
          </w:rPr>
          <w:t>1</w:t>
        </w:r>
      </w:hyperlink>
      <w:r>
        <w:rPr>
          <w:rFonts w:ascii="仿宋" w:eastAsia="仿宋" w:hAnsi="仿宋" w:hint="eastAsia"/>
          <w:sz w:val="32"/>
          <w:szCs w:val="32"/>
          <w:lang w:val="en-US" w:eastAsia="zh-CN"/>
        </w:rPr>
        <w:t>0</w:t>
      </w:r>
    </w:p>
    <w:p>
      <w:pPr>
        <w:pStyle w:val="TOC1"/>
        <w:rPr>
          <w:rFonts w:ascii="仿宋" w:eastAsia="仿宋" w:hAnsi="仿宋"/>
          <w:b w:val="0"/>
          <w:sz w:val="32"/>
          <w:szCs w:val="32"/>
        </w:rPr>
      </w:pPr>
      <w:hyperlink w:anchor="_Toc51833325" w:history="1">
        <w:r>
          <w:rPr>
            <w:rStyle w:val="Hyperlink"/>
            <w:rFonts w:ascii="仿宋" w:eastAsia="仿宋" w:hAnsi="仿宋" w:hint="eastAsia"/>
            <w:sz w:val="32"/>
            <w:szCs w:val="32"/>
          </w:rPr>
          <w:t>第四部分</w:t>
        </w:r>
        <w:r>
          <w:rPr>
            <w:rStyle w:val="Hyperlink"/>
            <w:rFonts w:ascii="仿宋" w:eastAsia="仿宋" w:hAnsi="仿宋" w:hint="eastAsia"/>
            <w:sz w:val="32"/>
            <w:szCs w:val="32"/>
            <w:lang w:val="en-US" w:eastAsia="zh-CN"/>
          </w:rPr>
          <w:t xml:space="preserve"> </w:t>
        </w:r>
        <w:r>
          <w:rPr>
            <w:rStyle w:val="Hyperlink"/>
            <w:rFonts w:ascii="仿宋" w:eastAsia="仿宋" w:hAnsi="仿宋" w:hint="eastAsia"/>
            <w:sz w:val="32"/>
            <w:szCs w:val="32"/>
          </w:rPr>
          <w:t>合同（格式）</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_Toc51833325 \h </w:instrText>
        </w:r>
        <w:r>
          <w:rPr>
            <w:rFonts w:ascii="仿宋" w:eastAsia="仿宋" w:hAnsi="仿宋"/>
            <w:sz w:val="32"/>
            <w:szCs w:val="32"/>
          </w:rPr>
          <w:fldChar w:fldCharType="separate"/>
        </w:r>
        <w:r>
          <w:rPr>
            <w:rFonts w:ascii="仿宋" w:eastAsia="仿宋" w:hAnsi="仿宋"/>
            <w:sz w:val="32"/>
            <w:szCs w:val="32"/>
          </w:rPr>
          <w:t>25</w:t>
        </w:r>
        <w:r>
          <w:rPr>
            <w:rFonts w:ascii="仿宋" w:eastAsia="仿宋" w:hAnsi="仿宋"/>
            <w:sz w:val="32"/>
            <w:szCs w:val="32"/>
          </w:rPr>
          <w:fldChar w:fldCharType="end"/>
        </w:r>
      </w:hyperlink>
    </w:p>
    <w:p>
      <w:pPr>
        <w:pStyle w:val="TOC1"/>
        <w:rPr>
          <w:rFonts w:ascii="仿宋" w:eastAsia="仿宋" w:hAnsi="仿宋" w:hint="eastAsia"/>
          <w:b w:val="0"/>
          <w:sz w:val="32"/>
          <w:szCs w:val="32"/>
          <w:lang w:val="en-US" w:eastAsia="zh-CN"/>
        </w:rPr>
      </w:pPr>
      <w:hyperlink w:anchor="_Toc51833326" w:history="1">
        <w:r>
          <w:rPr>
            <w:rStyle w:val="Hyperlink"/>
            <w:rFonts w:ascii="仿宋" w:eastAsia="仿宋" w:hAnsi="仿宋" w:hint="eastAsia"/>
            <w:sz w:val="32"/>
            <w:szCs w:val="32"/>
          </w:rPr>
          <w:t>第五部分</w:t>
        </w:r>
        <w:r>
          <w:rPr>
            <w:rStyle w:val="Hyperlink"/>
            <w:rFonts w:ascii="仿宋" w:eastAsia="仿宋" w:hAnsi="仿宋" w:hint="eastAsia"/>
            <w:sz w:val="32"/>
            <w:szCs w:val="32"/>
            <w:lang w:val="en-US" w:eastAsia="zh-CN"/>
          </w:rPr>
          <w:t xml:space="preserve"> </w:t>
        </w:r>
        <w:r>
          <w:rPr>
            <w:rStyle w:val="Hyperlink"/>
            <w:rFonts w:ascii="仿宋" w:eastAsia="仿宋" w:hAnsi="仿宋" w:hint="eastAsia"/>
            <w:sz w:val="32"/>
            <w:szCs w:val="32"/>
          </w:rPr>
          <w:t>附件—</w:t>
        </w:r>
        <w:r>
          <w:rPr>
            <w:rStyle w:val="Hyperlink"/>
            <w:rFonts w:ascii="仿宋" w:eastAsia="仿宋" w:hAnsi="仿宋"/>
            <w:sz w:val="32"/>
            <w:szCs w:val="32"/>
          </w:rPr>
          <w:t>—</w:t>
        </w:r>
        <w:r>
          <w:rPr>
            <w:rStyle w:val="Hyperlink"/>
            <w:rFonts w:ascii="仿宋" w:eastAsia="仿宋" w:hAnsi="仿宋" w:hint="eastAsia"/>
            <w:sz w:val="32"/>
            <w:szCs w:val="32"/>
          </w:rPr>
          <w:t>响应文件格式</w:t>
        </w:r>
        <w:r>
          <w:rPr>
            <w:rFonts w:ascii="仿宋" w:eastAsia="仿宋" w:hAnsi="仿宋"/>
            <w:sz w:val="32"/>
            <w:szCs w:val="32"/>
          </w:rPr>
          <w:tab/>
        </w:r>
        <w:r>
          <w:rPr>
            <w:rFonts w:ascii="仿宋" w:eastAsia="仿宋" w:hAnsi="仿宋" w:hint="eastAsia"/>
            <w:sz w:val="32"/>
            <w:szCs w:val="32"/>
            <w:lang w:val="en-US" w:eastAsia="zh-CN"/>
          </w:rPr>
          <w:t>3</w:t>
        </w:r>
      </w:hyperlink>
      <w:r>
        <w:rPr>
          <w:rFonts w:ascii="仿宋" w:eastAsia="仿宋" w:hAnsi="仿宋" w:hint="eastAsia"/>
          <w:sz w:val="32"/>
          <w:szCs w:val="32"/>
          <w:lang w:val="en-US" w:eastAsia="zh-CN"/>
        </w:rPr>
        <w:t>2</w:t>
      </w:r>
    </w:p>
    <w:p>
      <w:pPr>
        <w:snapToGrid w:val="0"/>
        <w:spacing w:before="360" w:beforeLines="150" w:after="360" w:afterLines="150" w:line="560" w:lineRule="atLeast"/>
        <w:textAlignment w:val="top"/>
        <w:rPr>
          <w:rFonts w:ascii="仿宋_GB2312" w:eastAsia="仿宋_GB2312"/>
          <w:sz w:val="32"/>
          <w:szCs w:val="32"/>
        </w:rPr>
      </w:pPr>
      <w:r>
        <w:rPr>
          <w:rFonts w:ascii="仿宋" w:eastAsia="仿宋" w:hAnsi="仿宋"/>
          <w:sz w:val="32"/>
          <w:szCs w:val="32"/>
        </w:rPr>
        <w:fldChar w:fldCharType="end"/>
      </w:r>
    </w:p>
    <w:p>
      <w:pPr>
        <w:pStyle w:val="Heading1"/>
        <w:pageBreakBefore/>
        <w:numPr>
          <w:ilvl w:val="0"/>
          <w:numId w:val="1"/>
        </w:numPr>
        <w:jc w:val="center"/>
        <w:sectPr>
          <w:footerReference w:type="default" r:id="rId7"/>
          <w:pgSz w:w="11905" w:h="16837"/>
          <w:pgMar w:top="1078" w:right="1024" w:bottom="1007" w:left="1425" w:header="0" w:footer="760" w:gutter="0"/>
          <w:pgNumType w:start="1"/>
          <w:cols w:num="1" w:space="720"/>
        </w:sectPr>
      </w:pPr>
      <w:bookmarkStart w:id="1" w:name="_Toc51833322"/>
    </w:p>
    <w:bookmarkEnd w:id="1"/>
    <w:p>
      <w:pPr>
        <w:pStyle w:val="Heading1"/>
        <w:keepNext/>
        <w:keepLines/>
        <w:pageBreakBefore/>
        <w:widowControl w:val="0"/>
        <w:numPr>
          <w:ilvl w:val="0"/>
          <w:numId w:val="1"/>
        </w:numPr>
        <w:kinsoku/>
        <w:wordWrap/>
        <w:overflowPunct/>
        <w:topLinePunct w:val="0"/>
        <w:autoSpaceDE/>
        <w:autoSpaceDN/>
        <w:bidi w:val="0"/>
        <w:adjustRightInd/>
        <w:snapToGrid/>
        <w:spacing w:after="0" w:line="360" w:lineRule="auto"/>
        <w:jc w:val="center"/>
        <w:textAlignment w:val="auto"/>
      </w:pPr>
      <w:r>
        <w:rPr>
          <w:rFonts w:hint="eastAsia"/>
          <w:lang w:val="en-US" w:eastAsia="zh-CN"/>
        </w:rPr>
        <w:t xml:space="preserve">    </w:t>
      </w:r>
      <w:r>
        <w:rPr>
          <w:rFonts w:hint="eastAsia"/>
        </w:rPr>
        <w:t>谈判公告</w:t>
      </w:r>
    </w:p>
    <w:p>
      <w:pPr>
        <w:spacing w:line="360" w:lineRule="auto"/>
        <w:ind w:firstLine="560" w:firstLineChars="200"/>
        <w:rPr>
          <w:rFonts w:ascii="仿宋_GB2312" w:eastAsia="仿宋_GB2312"/>
          <w:spacing w:val="2"/>
          <w:sz w:val="28"/>
          <w:szCs w:val="28"/>
        </w:rPr>
      </w:pPr>
      <w:r>
        <w:rPr>
          <w:rFonts w:ascii="仿宋" w:eastAsia="仿宋" w:hAnsi="仿宋" w:cs="仿宋" w:hint="eastAsia"/>
          <w:sz w:val="28"/>
          <w:szCs w:val="28"/>
        </w:rPr>
        <w:t>之京城市管理集团有限责任公司接受安阳市公安局交通管理支队委托，就安阳市公安局交通管理支队2023年度痕迹物证类鉴定项目</w:t>
      </w:r>
      <w:r>
        <w:rPr>
          <w:rFonts w:ascii="仿宋" w:eastAsia="仿宋" w:hAnsi="仿宋" w:cs="仿宋" w:hint="eastAsia"/>
          <w:sz w:val="28"/>
          <w:szCs w:val="28"/>
          <w:lang w:eastAsia="zh-CN"/>
        </w:rPr>
        <w:t>（</w:t>
      </w:r>
      <w:r>
        <w:rPr>
          <w:rFonts w:ascii="仿宋" w:eastAsia="仿宋" w:hAnsi="仿宋" w:cs="仿宋" w:hint="eastAsia"/>
          <w:sz w:val="28"/>
          <w:szCs w:val="28"/>
          <w:lang w:val="en-US" w:eastAsia="zh-CN"/>
        </w:rPr>
        <w:t>二次</w:t>
      </w:r>
      <w:r>
        <w:rPr>
          <w:rFonts w:ascii="仿宋" w:eastAsia="仿宋" w:hAnsi="仿宋" w:cs="仿宋" w:hint="eastAsia"/>
          <w:sz w:val="28"/>
          <w:szCs w:val="28"/>
          <w:lang w:eastAsia="zh-CN"/>
        </w:rPr>
        <w:t>）</w:t>
      </w:r>
      <w:r>
        <w:rPr>
          <w:rFonts w:ascii="仿宋" w:eastAsia="仿宋" w:hAnsi="仿宋" w:cs="仿宋" w:hint="eastAsia"/>
          <w:sz w:val="28"/>
          <w:szCs w:val="28"/>
        </w:rPr>
        <w:t>进行竞争性谈判，各</w:t>
      </w:r>
      <w:r>
        <w:rPr>
          <w:rFonts w:ascii="仿宋_GB2312" w:eastAsia="仿宋_GB2312" w:hint="eastAsia"/>
          <w:spacing w:val="2"/>
          <w:sz w:val="28"/>
          <w:szCs w:val="28"/>
        </w:rPr>
        <w:t xml:space="preserve">潜在投标人应在安阳市公共资源交易中心网站获取谈判文件，并于2023 年 </w:t>
      </w:r>
      <w:r>
        <w:rPr>
          <w:rFonts w:ascii="仿宋_GB2312" w:eastAsia="仿宋_GB2312" w:hint="eastAsia"/>
          <w:spacing w:val="2"/>
          <w:sz w:val="28"/>
          <w:szCs w:val="28"/>
          <w:lang w:val="en-US" w:eastAsia="zh-CN"/>
        </w:rPr>
        <w:t>9</w:t>
      </w:r>
      <w:r>
        <w:rPr>
          <w:rFonts w:ascii="仿宋_GB2312" w:eastAsia="仿宋_GB2312" w:hint="eastAsia"/>
          <w:spacing w:val="2"/>
          <w:sz w:val="28"/>
          <w:szCs w:val="28"/>
        </w:rPr>
        <w:t>月</w:t>
      </w:r>
      <w:r>
        <w:rPr>
          <w:rFonts w:ascii="仿宋_GB2312" w:eastAsia="仿宋_GB2312" w:hint="eastAsia"/>
          <w:spacing w:val="2"/>
          <w:sz w:val="28"/>
          <w:szCs w:val="28"/>
          <w:lang w:val="en-US" w:eastAsia="zh-CN"/>
        </w:rPr>
        <w:t>15</w:t>
      </w:r>
      <w:r>
        <w:rPr>
          <w:rFonts w:ascii="仿宋_GB2312" w:eastAsia="仿宋_GB2312" w:hint="eastAsia"/>
          <w:spacing w:val="2"/>
          <w:sz w:val="28"/>
          <w:szCs w:val="28"/>
        </w:rPr>
        <w:t>日9 时00分（北京时间）前递交投标文件。</w:t>
      </w:r>
    </w:p>
    <w:p>
      <w:pPr>
        <w:spacing w:line="360" w:lineRule="auto"/>
        <w:rPr>
          <w:rFonts w:ascii="仿宋_GB2312" w:eastAsia="仿宋_GB2312"/>
          <w:b/>
          <w:sz w:val="28"/>
          <w:szCs w:val="28"/>
        </w:rPr>
      </w:pPr>
      <w:r>
        <w:rPr>
          <w:rFonts w:ascii="仿宋_GB2312" w:eastAsia="仿宋_GB2312" w:hint="eastAsia"/>
          <w:b/>
          <w:sz w:val="28"/>
          <w:szCs w:val="28"/>
        </w:rPr>
        <w:t>一、采购基本情况</w:t>
      </w:r>
    </w:p>
    <w:p>
      <w:pPr>
        <w:numPr>
          <w:ilvl w:val="0"/>
          <w:numId w:val="2"/>
        </w:numPr>
        <w:spacing w:line="360" w:lineRule="auto"/>
        <w:ind w:left="425" w:hanging="425" w:leftChars="0" w:firstLineChars="0"/>
        <w:rPr>
          <w:rFonts w:ascii="仿宋" w:eastAsia="仿宋" w:hAnsi="仿宋" w:cs="仿宋" w:hint="eastAsia"/>
          <w:sz w:val="28"/>
          <w:szCs w:val="28"/>
        </w:rPr>
      </w:pPr>
      <w:r>
        <w:rPr>
          <w:rFonts w:ascii="仿宋" w:eastAsia="仿宋" w:hAnsi="仿宋" w:cs="仿宋" w:hint="eastAsia"/>
          <w:sz w:val="28"/>
          <w:szCs w:val="28"/>
          <w:lang w:val="en-US" w:eastAsia="zh-CN"/>
        </w:rPr>
        <w:t>采购</w:t>
      </w:r>
      <w:r>
        <w:rPr>
          <w:rFonts w:ascii="仿宋" w:eastAsia="仿宋" w:hAnsi="仿宋" w:cs="仿宋" w:hint="eastAsia"/>
          <w:sz w:val="28"/>
          <w:szCs w:val="28"/>
        </w:rPr>
        <w:t>编号：安财竞谈-2023-36</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right="-525" w:hanging="425" w:leftChars="0" w:rightChars="-250" w:firstLineChars="0"/>
        <w:textAlignment w:val="auto"/>
        <w:rPr>
          <w:rFonts w:ascii="仿宋" w:eastAsia="仿宋" w:hAnsi="仿宋" w:cs="仿宋" w:hint="eastAsia"/>
          <w:sz w:val="28"/>
          <w:szCs w:val="28"/>
        </w:rPr>
      </w:pPr>
      <w:r>
        <w:rPr>
          <w:rFonts w:ascii="仿宋" w:eastAsia="仿宋" w:hAnsi="仿宋" w:cs="仿宋" w:hint="eastAsia"/>
          <w:sz w:val="28"/>
          <w:szCs w:val="28"/>
        </w:rPr>
        <w:t>项目名称：安阳市公安局交通管理支队2023年度痕迹物证类鉴定项目</w:t>
      </w:r>
      <w:r>
        <w:rPr>
          <w:rFonts w:ascii="仿宋" w:eastAsia="仿宋" w:hAnsi="仿宋" w:cs="仿宋" w:hint="eastAsia"/>
          <w:sz w:val="28"/>
          <w:szCs w:val="28"/>
          <w:lang w:eastAsia="zh-CN"/>
        </w:rPr>
        <w:t>（</w:t>
      </w:r>
      <w:r>
        <w:rPr>
          <w:rFonts w:ascii="仿宋" w:eastAsia="仿宋" w:hAnsi="仿宋" w:cs="仿宋" w:hint="eastAsia"/>
          <w:sz w:val="28"/>
          <w:szCs w:val="28"/>
          <w:lang w:val="en-US" w:eastAsia="zh-CN"/>
        </w:rPr>
        <w:t>二次</w:t>
      </w:r>
      <w:r>
        <w:rPr>
          <w:rFonts w:ascii="仿宋" w:eastAsia="仿宋" w:hAnsi="仿宋" w:cs="仿宋" w:hint="eastAsia"/>
          <w:sz w:val="28"/>
          <w:szCs w:val="28"/>
          <w:lang w:eastAsia="zh-CN"/>
        </w:rPr>
        <w:t>）</w:t>
      </w:r>
    </w:p>
    <w:p>
      <w:pPr>
        <w:numPr>
          <w:ilvl w:val="0"/>
          <w:numId w:val="2"/>
        </w:numPr>
        <w:spacing w:line="360" w:lineRule="auto"/>
        <w:ind w:left="425" w:hanging="425" w:leftChars="0" w:firstLineChars="0"/>
        <w:rPr>
          <w:rFonts w:ascii="仿宋" w:eastAsia="仿宋" w:hAnsi="仿宋" w:cs="仿宋" w:hint="eastAsia"/>
          <w:sz w:val="28"/>
          <w:szCs w:val="28"/>
        </w:rPr>
      </w:pPr>
      <w:r>
        <w:rPr>
          <w:rFonts w:ascii="仿宋" w:eastAsia="仿宋" w:hAnsi="仿宋" w:cs="仿宋" w:hint="eastAsia"/>
          <w:sz w:val="28"/>
          <w:szCs w:val="28"/>
        </w:rPr>
        <w:t>采购方式：竞争性</w:t>
      </w:r>
      <w:r>
        <w:rPr>
          <w:rFonts w:ascii="仿宋" w:eastAsia="仿宋" w:hAnsi="仿宋" w:cs="仿宋" w:hint="eastAsia"/>
          <w:sz w:val="28"/>
          <w:szCs w:val="28"/>
          <w:lang w:val="en-US" w:eastAsia="zh-CN"/>
        </w:rPr>
        <w:t>谈判</w:t>
      </w:r>
    </w:p>
    <w:p>
      <w:pPr>
        <w:numPr>
          <w:ilvl w:val="0"/>
          <w:numId w:val="2"/>
        </w:numPr>
        <w:spacing w:line="360" w:lineRule="auto"/>
        <w:ind w:left="425" w:hanging="425" w:leftChars="0" w:firstLineChars="0"/>
        <w:rPr>
          <w:rFonts w:ascii="仿宋" w:eastAsia="仿宋" w:hAnsi="仿宋" w:cs="仿宋" w:hint="eastAsia"/>
          <w:sz w:val="28"/>
          <w:szCs w:val="28"/>
        </w:rPr>
      </w:pPr>
      <w:r>
        <w:rPr>
          <w:rFonts w:ascii="仿宋" w:eastAsia="仿宋" w:hAnsi="仿宋" w:cs="仿宋" w:hint="eastAsia"/>
          <w:sz w:val="28"/>
          <w:szCs w:val="28"/>
        </w:rPr>
        <w:t>预算金额</w:t>
      </w:r>
      <w:r>
        <w:rPr>
          <w:rFonts w:ascii="仿宋" w:eastAsia="仿宋" w:hAnsi="仿宋" w:cs="仿宋" w:hint="eastAsia"/>
          <w:sz w:val="28"/>
          <w:szCs w:val="28"/>
          <w:lang w:eastAsia="zh-CN"/>
        </w:rPr>
        <w:t>：604900.00</w:t>
      </w:r>
      <w:r>
        <w:rPr>
          <w:rFonts w:ascii="仿宋" w:eastAsia="仿宋" w:hAnsi="仿宋" w:cs="仿宋" w:hint="eastAsia"/>
          <w:sz w:val="28"/>
          <w:szCs w:val="28"/>
          <w:lang w:val="en-US" w:eastAsia="zh-CN"/>
        </w:rPr>
        <w:t>元</w:t>
      </w:r>
    </w:p>
    <w:p>
      <w:pPr>
        <w:numPr>
          <w:ilvl w:val="0"/>
          <w:numId w:val="2"/>
        </w:numPr>
        <w:spacing w:line="360" w:lineRule="auto"/>
        <w:ind w:left="425" w:hanging="425" w:leftChars="0" w:firstLineChars="0"/>
        <w:rPr>
          <w:rFonts w:ascii="仿宋" w:eastAsia="仿宋" w:hAnsi="仿宋" w:cs="仿宋" w:hint="eastAsia"/>
          <w:sz w:val="28"/>
          <w:szCs w:val="28"/>
        </w:rPr>
      </w:pPr>
      <w:r>
        <w:rPr>
          <w:rFonts w:ascii="仿宋" w:eastAsia="仿宋" w:hAnsi="仿宋" w:cs="仿宋" w:hint="eastAsia"/>
          <w:sz w:val="28"/>
          <w:szCs w:val="28"/>
          <w:lang w:val="en-US" w:eastAsia="zh-CN"/>
        </w:rPr>
        <w:t>采购需求</w:t>
      </w:r>
      <w:r>
        <w:rPr>
          <w:rFonts w:ascii="仿宋" w:eastAsia="仿宋" w:hAnsi="仿宋" w:cs="仿宋" w:hint="eastAsia"/>
          <w:sz w:val="28"/>
          <w:szCs w:val="28"/>
        </w:rPr>
        <w:t>：</w:t>
      </w:r>
      <w:r>
        <w:rPr>
          <w:rFonts w:ascii="仿宋" w:eastAsia="仿宋" w:hAnsi="仿宋" w:cs="仿宋" w:hint="eastAsia"/>
          <w:sz w:val="28"/>
          <w:szCs w:val="28"/>
          <w:lang w:val="en-US" w:eastAsia="zh-CN"/>
        </w:rPr>
        <w:t>交通事故</w:t>
      </w:r>
      <w:r>
        <w:rPr>
          <w:rFonts w:ascii="仿宋" w:eastAsia="仿宋" w:hAnsi="仿宋" w:cs="仿宋" w:hint="eastAsia"/>
          <w:sz w:val="28"/>
          <w:szCs w:val="28"/>
        </w:rPr>
        <w:t>痕迹物证类鉴定</w:t>
      </w:r>
      <w:r>
        <w:rPr>
          <w:rFonts w:ascii="仿宋" w:eastAsia="仿宋" w:hAnsi="仿宋" w:cs="仿宋" w:hint="eastAsia"/>
          <w:sz w:val="28"/>
          <w:szCs w:val="28"/>
          <w:lang w:eastAsia="zh-CN"/>
        </w:rPr>
        <w:t>，</w:t>
      </w:r>
      <w:r>
        <w:rPr>
          <w:rFonts w:ascii="仿宋" w:eastAsia="仿宋" w:hAnsi="仿宋" w:cs="仿宋" w:hint="eastAsia"/>
          <w:sz w:val="28"/>
          <w:szCs w:val="28"/>
          <w:lang w:val="en-US" w:eastAsia="zh-CN"/>
        </w:rPr>
        <w:t>具体</w:t>
      </w:r>
      <w:r>
        <w:rPr>
          <w:rFonts w:ascii="仿宋" w:eastAsia="仿宋" w:hAnsi="仿宋" w:cs="仿宋" w:hint="eastAsia"/>
          <w:sz w:val="28"/>
          <w:szCs w:val="28"/>
        </w:rPr>
        <w:t>参数详见《谈判文件》</w:t>
      </w:r>
      <w:r>
        <w:rPr>
          <w:rFonts w:ascii="仿宋" w:eastAsia="仿宋" w:hAnsi="仿宋" w:cs="仿宋" w:hint="eastAsia"/>
          <w:sz w:val="28"/>
          <w:szCs w:val="28"/>
          <w:lang w:eastAsia="zh-CN"/>
        </w:rPr>
        <w:t>。</w:t>
      </w:r>
    </w:p>
    <w:p>
      <w:pPr>
        <w:numPr>
          <w:ilvl w:val="0"/>
          <w:numId w:val="2"/>
        </w:numPr>
        <w:spacing w:line="360" w:lineRule="auto"/>
        <w:ind w:left="425" w:hanging="425" w:leftChars="0" w:firstLineChars="0"/>
        <w:rPr>
          <w:rFonts w:ascii="仿宋" w:eastAsia="仿宋" w:hAnsi="仿宋" w:cs="仿宋" w:hint="eastAsia"/>
          <w:sz w:val="28"/>
          <w:szCs w:val="28"/>
          <w:highlight w:val="none"/>
        </w:rPr>
      </w:pPr>
      <w:r>
        <w:rPr>
          <w:rFonts w:ascii="仿宋" w:eastAsia="仿宋" w:hAnsi="仿宋" w:cs="仿宋" w:hint="eastAsia"/>
          <w:sz w:val="28"/>
          <w:szCs w:val="28"/>
          <w:highlight w:val="none"/>
          <w:lang w:eastAsia="zh-CN"/>
        </w:rPr>
        <w:t>合同履行期限</w:t>
      </w:r>
      <w:r>
        <w:rPr>
          <w:rFonts w:ascii="仿宋" w:eastAsia="仿宋" w:hAnsi="仿宋" w:cs="仿宋" w:hint="eastAsia"/>
          <w:sz w:val="28"/>
          <w:szCs w:val="28"/>
          <w:highlight w:val="none"/>
        </w:rPr>
        <w:t>：</w:t>
      </w:r>
      <w:r>
        <w:rPr>
          <w:rFonts w:ascii="仿宋" w:eastAsia="仿宋" w:hAnsi="仿宋" w:cs="仿宋" w:hint="eastAsia"/>
          <w:sz w:val="28"/>
          <w:szCs w:val="28"/>
          <w:highlight w:val="none"/>
          <w:lang w:val="en-US" w:eastAsia="zh-CN"/>
        </w:rPr>
        <w:t>详见文件相应内容</w:t>
      </w:r>
      <w:r>
        <w:rPr>
          <w:rFonts w:ascii="仿宋" w:eastAsia="仿宋" w:hAnsi="仿宋" w:cs="仿宋" w:hint="eastAsia"/>
          <w:sz w:val="28"/>
          <w:szCs w:val="28"/>
          <w:highlight w:val="none"/>
        </w:rPr>
        <w:t>。</w:t>
      </w:r>
    </w:p>
    <w:p>
      <w:pPr>
        <w:numPr>
          <w:ilvl w:val="0"/>
          <w:numId w:val="2"/>
        </w:numPr>
        <w:spacing w:line="360" w:lineRule="auto"/>
        <w:ind w:left="425" w:hanging="425" w:leftChars="0" w:firstLineChars="0"/>
        <w:rPr>
          <w:rFonts w:ascii="仿宋" w:eastAsia="仿宋" w:hAnsi="仿宋" w:cs="仿宋" w:hint="eastAsia"/>
          <w:sz w:val="28"/>
          <w:szCs w:val="28"/>
        </w:rPr>
      </w:pPr>
      <w:r>
        <w:rPr>
          <w:rFonts w:ascii="仿宋" w:eastAsia="仿宋" w:hAnsi="仿宋" w:cs="仿宋" w:hint="eastAsia"/>
          <w:sz w:val="28"/>
          <w:szCs w:val="28"/>
        </w:rPr>
        <w:t>本项目是否接受联合体投标：否。</w:t>
      </w:r>
    </w:p>
    <w:p>
      <w:pPr>
        <w:numPr>
          <w:ilvl w:val="0"/>
          <w:numId w:val="2"/>
        </w:numPr>
        <w:spacing w:line="360" w:lineRule="auto"/>
        <w:ind w:left="425" w:hanging="425" w:leftChars="0" w:firstLineChars="0"/>
        <w:rPr>
          <w:rFonts w:ascii="仿宋" w:eastAsia="仿宋" w:hAnsi="仿宋" w:cs="仿宋" w:hint="eastAsia"/>
          <w:sz w:val="28"/>
          <w:szCs w:val="28"/>
        </w:rPr>
      </w:pPr>
      <w:r>
        <w:rPr>
          <w:rFonts w:ascii="仿宋" w:eastAsia="仿宋" w:hAnsi="仿宋" w:cs="仿宋" w:hint="eastAsia"/>
          <w:sz w:val="28"/>
          <w:szCs w:val="28"/>
        </w:rPr>
        <w:t>是否接受进口产品：否。</w:t>
      </w:r>
    </w:p>
    <w:p>
      <w:pPr>
        <w:numPr>
          <w:ilvl w:val="0"/>
          <w:numId w:val="2"/>
        </w:numPr>
        <w:spacing w:line="360" w:lineRule="auto"/>
        <w:ind w:left="425" w:hanging="425" w:leftChars="0" w:firstLineChars="0"/>
        <w:rPr>
          <w:rFonts w:ascii="仿宋" w:eastAsia="仿宋" w:hAnsi="仿宋" w:cs="仿宋" w:hint="eastAsia"/>
          <w:sz w:val="28"/>
          <w:szCs w:val="28"/>
        </w:rPr>
      </w:pPr>
      <w:r>
        <w:rPr>
          <w:rFonts w:ascii="仿宋" w:eastAsia="仿宋" w:hAnsi="仿宋" w:cs="仿宋" w:hint="eastAsia"/>
          <w:sz w:val="28"/>
          <w:szCs w:val="28"/>
        </w:rPr>
        <w:t>是否专门面向中小企业：是</w:t>
      </w:r>
    </w:p>
    <w:p>
      <w:pPr>
        <w:spacing w:line="360" w:lineRule="auto"/>
        <w:rPr>
          <w:rFonts w:ascii="仿宋_GB2312" w:eastAsia="仿宋_GB2312"/>
          <w:b/>
          <w:sz w:val="28"/>
          <w:szCs w:val="28"/>
        </w:rPr>
      </w:pPr>
      <w:r>
        <w:rPr>
          <w:rFonts w:ascii="仿宋_GB2312" w:eastAsia="仿宋_GB2312" w:hint="eastAsia"/>
          <w:b/>
          <w:sz w:val="28"/>
          <w:szCs w:val="28"/>
        </w:rPr>
        <w:t xml:space="preserve">二、申请人资格要求： </w:t>
      </w:r>
    </w:p>
    <w:p>
      <w:pPr>
        <w:numPr>
          <w:ilvl w:val="0"/>
          <w:numId w:val="3"/>
        </w:numPr>
        <w:spacing w:line="360" w:lineRule="auto"/>
        <w:rPr>
          <w:rFonts w:ascii="仿宋_GB2312" w:eastAsia="仿宋_GB2312"/>
          <w:sz w:val="28"/>
          <w:szCs w:val="28"/>
        </w:rPr>
      </w:pPr>
      <w:r>
        <w:rPr>
          <w:rFonts w:ascii="仿宋_GB2312" w:eastAsia="仿宋_GB2312" w:hint="eastAsia"/>
          <w:sz w:val="28"/>
          <w:szCs w:val="28"/>
        </w:rPr>
        <w:t xml:space="preserve">满足《中华人民共和国政府采购法》第二十二条规定； </w:t>
      </w:r>
    </w:p>
    <w:p>
      <w:pPr>
        <w:numPr>
          <w:ilvl w:val="0"/>
          <w:numId w:val="3"/>
        </w:numPr>
        <w:spacing w:line="360" w:lineRule="auto"/>
        <w:rPr>
          <w:rFonts w:ascii="仿宋_GB2312" w:eastAsia="仿宋_GB2312"/>
          <w:spacing w:val="2"/>
          <w:sz w:val="28"/>
          <w:szCs w:val="28"/>
        </w:rPr>
      </w:pPr>
      <w:r>
        <w:rPr>
          <w:rFonts w:ascii="仿宋_GB2312" w:eastAsia="仿宋_GB2312" w:hint="eastAsia"/>
          <w:spacing w:val="2"/>
          <w:sz w:val="28"/>
          <w:szCs w:val="28"/>
        </w:rPr>
        <w:t>落实政府采购政策满足的资格要求：</w:t>
      </w:r>
    </w:p>
    <w:p>
      <w:pPr>
        <w:spacing w:line="360" w:lineRule="auto"/>
        <w:rPr>
          <w:rFonts w:ascii="仿宋_GB2312" w:eastAsia="仿宋_GB2312"/>
          <w:sz w:val="28"/>
          <w:szCs w:val="28"/>
        </w:rPr>
      </w:pPr>
      <w:r>
        <w:rPr>
          <w:rFonts w:ascii="仿宋_GB2312" w:eastAsia="仿宋_GB2312" w:hint="eastAsia"/>
          <w:spacing w:val="2"/>
          <w:sz w:val="28"/>
          <w:szCs w:val="28"/>
        </w:rPr>
        <w:t>2.1 落实政府采购政策需满足的资格要求：本项目面向中小企业采购项目，供应商应在响应文件中提供《中小企业声明函》或《残疾人福利性单位声明函》或省级以上监狱管理局、戒毒管理局（含新疆生产建设兵团）出具的属于监狱企业的证明文件。■提供《中小企业声明函》。</w:t>
      </w:r>
    </w:p>
    <w:p>
      <w:pPr>
        <w:numPr>
          <w:ilvl w:val="0"/>
          <w:numId w:val="3"/>
        </w:numPr>
        <w:spacing w:line="360" w:lineRule="auto"/>
        <w:rPr>
          <w:rFonts w:ascii="仿宋_GB2312" w:eastAsia="仿宋_GB2312"/>
          <w:sz w:val="28"/>
          <w:szCs w:val="28"/>
        </w:rPr>
      </w:pPr>
      <w:r>
        <w:rPr>
          <w:rFonts w:ascii="仿宋_GB2312" w:eastAsia="仿宋_GB2312" w:hint="eastAsia"/>
          <w:sz w:val="28"/>
          <w:szCs w:val="28"/>
        </w:rPr>
        <w:t>本项目的特定资格要求：</w:t>
      </w:r>
    </w:p>
    <w:p>
      <w:pPr>
        <w:spacing w:line="360" w:lineRule="auto"/>
        <w:rPr>
          <w:rFonts w:ascii="仿宋_GB2312" w:eastAsia="仿宋_GB2312" w:hAnsi="Times New Roman" w:cs="Times New Roman" w:hint="eastAsia"/>
          <w:spacing w:val="2"/>
          <w:sz w:val="28"/>
          <w:szCs w:val="28"/>
        </w:rPr>
      </w:pPr>
      <w:r>
        <w:rPr>
          <w:rFonts w:ascii="仿宋_GB2312" w:eastAsia="仿宋_GB2312" w:hAnsi="Times New Roman" w:cs="Times New Roman" w:hint="eastAsia"/>
          <w:spacing w:val="2"/>
          <w:sz w:val="28"/>
          <w:szCs w:val="28"/>
        </w:rPr>
        <w:t>3.1投标人应</w:t>
      </w:r>
      <w:r>
        <w:rPr>
          <w:rFonts w:ascii="仿宋_GB2312" w:eastAsia="仿宋_GB2312" w:hint="eastAsia"/>
          <w:sz w:val="28"/>
          <w:szCs w:val="28"/>
        </w:rPr>
        <w:t>具有独立承担民事责任的能力</w:t>
      </w:r>
      <w:r>
        <w:rPr>
          <w:rFonts w:ascii="仿宋_GB2312" w:eastAsia="仿宋_GB2312" w:hAnsi="Times New Roman" w:cs="Times New Roman" w:hint="eastAsia"/>
          <w:spacing w:val="2"/>
          <w:sz w:val="28"/>
          <w:szCs w:val="28"/>
        </w:rPr>
        <w:t>，须提供证明材料，包括但不限于营业执照或事业单位法人证书等。</w:t>
      </w:r>
    </w:p>
    <w:p>
      <w:pPr>
        <w:spacing w:line="360" w:lineRule="auto"/>
        <w:rPr>
          <w:rFonts w:ascii="仿宋_GB2312" w:eastAsia="仿宋_GB2312" w:hAnsi="Times New Roman" w:cs="Times New Roman" w:hint="eastAsia"/>
          <w:spacing w:val="2"/>
          <w:sz w:val="28"/>
          <w:szCs w:val="28"/>
          <w:lang w:val="en-US" w:eastAsia="zh-CN"/>
        </w:rPr>
      </w:pPr>
      <w:r>
        <w:rPr>
          <w:rFonts w:ascii="仿宋_GB2312" w:eastAsia="仿宋_GB2312" w:hAnsi="Times New Roman" w:cs="Times New Roman" w:hint="eastAsia"/>
          <w:spacing w:val="2"/>
          <w:sz w:val="28"/>
          <w:szCs w:val="28"/>
          <w:lang w:val="en-US" w:eastAsia="zh-CN"/>
        </w:rPr>
        <w:t>3.2</w:t>
      </w:r>
      <w:r>
        <w:rPr>
          <w:rFonts w:ascii="仿宋_GB2312" w:eastAsia="仿宋_GB2312" w:hAnsi="Times New Roman" w:cs="Times New Roman" w:hint="eastAsia"/>
          <w:spacing w:val="2"/>
          <w:sz w:val="28"/>
          <w:szCs w:val="28"/>
        </w:rPr>
        <w:t>具备司法行政机关颁发的《司法鉴定许可证》，鉴定业务范围包含</w:t>
      </w:r>
      <w:r>
        <w:rPr>
          <w:rFonts w:ascii="仿宋_GB2312" w:eastAsia="仿宋_GB2312" w:cs="Times New Roman" w:hint="eastAsia"/>
          <w:spacing w:val="2"/>
          <w:sz w:val="28"/>
          <w:szCs w:val="28"/>
          <w:lang w:eastAsia="zh-CN"/>
        </w:rPr>
        <w:t>：</w:t>
      </w:r>
      <w:r>
        <w:rPr>
          <w:rFonts w:ascii="仿宋_GB2312" w:eastAsia="仿宋_GB2312" w:hAnsi="Times New Roman" w:cs="Times New Roman" w:hint="eastAsia"/>
          <w:spacing w:val="2"/>
          <w:sz w:val="28"/>
          <w:szCs w:val="28"/>
        </w:rPr>
        <w:t>车辆安全技术状况鉴定</w:t>
      </w:r>
      <w:r>
        <w:rPr>
          <w:rFonts w:ascii="仿宋_GB2312" w:eastAsia="仿宋_GB2312" w:cs="Times New Roman" w:hint="eastAsia"/>
          <w:spacing w:val="2"/>
          <w:sz w:val="28"/>
          <w:szCs w:val="28"/>
          <w:lang w:eastAsia="zh-CN"/>
        </w:rPr>
        <w:t>、</w:t>
      </w:r>
      <w:r>
        <w:rPr>
          <w:rFonts w:ascii="仿宋_GB2312" w:eastAsia="仿宋_GB2312" w:hAnsi="Times New Roman" w:cs="Times New Roman" w:hint="eastAsia"/>
          <w:spacing w:val="2"/>
          <w:sz w:val="28"/>
          <w:szCs w:val="28"/>
        </w:rPr>
        <w:t>交通事故痕迹鉴定</w:t>
      </w:r>
      <w:r>
        <w:rPr>
          <w:rFonts w:ascii="仿宋_GB2312" w:eastAsia="仿宋_GB2312" w:cs="Times New Roman" w:hint="eastAsia"/>
          <w:spacing w:val="2"/>
          <w:sz w:val="28"/>
          <w:szCs w:val="28"/>
          <w:lang w:eastAsia="zh-CN"/>
        </w:rPr>
        <w:t>、</w:t>
      </w:r>
      <w:r>
        <w:rPr>
          <w:rFonts w:ascii="仿宋_GB2312" w:eastAsia="仿宋_GB2312" w:hAnsi="Times New Roman" w:cs="Times New Roman" w:hint="eastAsia"/>
          <w:spacing w:val="2"/>
          <w:sz w:val="28"/>
          <w:szCs w:val="28"/>
        </w:rPr>
        <w:t>交通事故痕迹物证综合鉴定</w:t>
      </w:r>
      <w:r>
        <w:rPr>
          <w:rFonts w:ascii="仿宋_GB2312" w:eastAsia="仿宋_GB2312" w:cs="Times New Roman" w:hint="eastAsia"/>
          <w:spacing w:val="2"/>
          <w:sz w:val="28"/>
          <w:szCs w:val="28"/>
          <w:lang w:eastAsia="zh-CN"/>
        </w:rPr>
        <w:t>、</w:t>
      </w:r>
      <w:r>
        <w:rPr>
          <w:rFonts w:ascii="仿宋_GB2312" w:eastAsia="仿宋_GB2312" w:hAnsi="Times New Roman" w:cs="Times New Roman" w:hint="eastAsia"/>
          <w:spacing w:val="2"/>
          <w:sz w:val="28"/>
          <w:szCs w:val="28"/>
        </w:rPr>
        <w:t>车辆速度鉴定</w:t>
      </w:r>
      <w:r>
        <w:rPr>
          <w:rFonts w:ascii="仿宋_GB2312" w:eastAsia="仿宋_GB2312" w:hAnsi="Times New Roman" w:cs="Times New Roman" w:hint="eastAsia"/>
          <w:spacing w:val="2"/>
          <w:sz w:val="28"/>
          <w:szCs w:val="28"/>
          <w:lang w:eastAsia="zh-CN"/>
        </w:rPr>
        <w:t>。</w:t>
      </w:r>
    </w:p>
    <w:p>
      <w:pPr>
        <w:spacing w:line="360" w:lineRule="auto"/>
        <w:rPr>
          <w:rFonts w:ascii="仿宋_GB2312" w:eastAsia="仿宋_GB2312"/>
          <w:spacing w:val="2"/>
          <w:sz w:val="28"/>
          <w:szCs w:val="28"/>
        </w:rPr>
      </w:pPr>
      <w:r>
        <w:rPr>
          <w:rFonts w:ascii="仿宋_GB2312" w:eastAsia="仿宋_GB2312" w:hint="eastAsia"/>
          <w:spacing w:val="2"/>
          <w:sz w:val="28"/>
          <w:szCs w:val="28"/>
        </w:rPr>
        <w:t>3.</w:t>
      </w:r>
      <w:r>
        <w:rPr>
          <w:rFonts w:ascii="仿宋_GB2312" w:eastAsia="仿宋_GB2312" w:hint="eastAsia"/>
          <w:spacing w:val="2"/>
          <w:sz w:val="28"/>
          <w:szCs w:val="28"/>
          <w:lang w:val="en-US" w:eastAsia="zh-CN"/>
        </w:rPr>
        <w:t>3</w:t>
      </w:r>
      <w:r>
        <w:rPr>
          <w:rFonts w:ascii="仿宋_GB2312" w:eastAsia="仿宋_GB2312" w:hint="eastAsia"/>
          <w:spacing w:val="2"/>
          <w:sz w:val="28"/>
          <w:szCs w:val="28"/>
        </w:rPr>
        <w:t>根据《关于在政府采购活动中查询及使用信用记录有关问题的通知》(财库[2016]125号)的规定，对列入失信被执行人、重大税收违法失信主体、政府采购严重违法失信行为记录名单的供应商，拒绝参与本项目政府采购活动。采购代理机构将对参加本项目的供应商进行信用信息查询，截图打印，作为证据留存。</w:t>
      </w:r>
    </w:p>
    <w:p>
      <w:pPr>
        <w:spacing w:line="360" w:lineRule="auto"/>
        <w:rPr>
          <w:rFonts w:ascii="仿宋_GB2312" w:eastAsia="仿宋_GB2312"/>
          <w:spacing w:val="2"/>
          <w:sz w:val="28"/>
          <w:szCs w:val="28"/>
        </w:rPr>
      </w:pPr>
      <w:r>
        <w:rPr>
          <w:rFonts w:ascii="仿宋_GB2312" w:eastAsia="仿宋_GB2312" w:hint="eastAsia"/>
          <w:spacing w:val="2"/>
          <w:sz w:val="28"/>
          <w:szCs w:val="28"/>
        </w:rPr>
        <w:t>3.</w:t>
      </w:r>
      <w:r>
        <w:rPr>
          <w:rFonts w:ascii="仿宋_GB2312" w:eastAsia="仿宋_GB2312" w:hint="eastAsia"/>
          <w:spacing w:val="2"/>
          <w:sz w:val="28"/>
          <w:szCs w:val="28"/>
          <w:lang w:val="en-US" w:eastAsia="zh-CN"/>
        </w:rPr>
        <w:t>4</w:t>
      </w:r>
      <w:r>
        <w:rPr>
          <w:rFonts w:ascii="仿宋_GB2312" w:eastAsia="仿宋_GB2312" w:hint="eastAsia"/>
          <w:spacing w:val="2"/>
          <w:sz w:val="28"/>
          <w:szCs w:val="28"/>
        </w:rPr>
        <w:t>参加政府采购活动前3年内在经营活动中没有重大违法记录。■提供供应商书面声明；供应商自行承诺并承担后果，声明函不实的，按《政府采购法》有关提供虚假材料的有关规定给予处罚。</w:t>
      </w:r>
    </w:p>
    <w:p>
      <w:pPr>
        <w:spacing w:line="360" w:lineRule="auto"/>
        <w:rPr>
          <w:rFonts w:ascii="仿宋_GB2312" w:eastAsia="仿宋_GB2312"/>
          <w:spacing w:val="2"/>
          <w:sz w:val="28"/>
          <w:szCs w:val="28"/>
        </w:rPr>
      </w:pPr>
      <w:r>
        <w:rPr>
          <w:rFonts w:ascii="仿宋_GB2312" w:eastAsia="仿宋_GB2312" w:hint="eastAsia"/>
          <w:spacing w:val="2"/>
          <w:sz w:val="28"/>
          <w:szCs w:val="28"/>
        </w:rPr>
        <w:t>3.</w:t>
      </w:r>
      <w:r>
        <w:rPr>
          <w:rFonts w:ascii="仿宋_GB2312" w:eastAsia="仿宋_GB2312" w:hint="eastAsia"/>
          <w:spacing w:val="2"/>
          <w:sz w:val="28"/>
          <w:szCs w:val="28"/>
          <w:lang w:val="en-US" w:eastAsia="zh-CN"/>
        </w:rPr>
        <w:t>5</w:t>
      </w:r>
      <w:r>
        <w:rPr>
          <w:rFonts w:ascii="仿宋_GB2312" w:eastAsia="仿宋_GB2312" w:hint="eastAsia"/>
          <w:spacing w:val="2"/>
          <w:sz w:val="28"/>
          <w:szCs w:val="28"/>
        </w:rPr>
        <w:t>单位负责人为同一人或者存在直接控股、管理关系的不同供应商，不得参加本合同项下的政府采购活动。供应商自行承诺并承担后果，声明函不实的，按《政府采购法》有关提供虚假材料的有关规定给予处罚。</w:t>
      </w:r>
    </w:p>
    <w:p>
      <w:pPr>
        <w:spacing w:line="360" w:lineRule="auto"/>
        <w:rPr>
          <w:rFonts w:ascii="仿宋_GB2312" w:eastAsia="仿宋_GB2312"/>
          <w:spacing w:val="2"/>
          <w:sz w:val="28"/>
          <w:szCs w:val="28"/>
        </w:rPr>
      </w:pPr>
      <w:r>
        <w:rPr>
          <w:rFonts w:ascii="仿宋_GB2312" w:eastAsia="仿宋_GB2312" w:hint="eastAsia"/>
          <w:spacing w:val="2"/>
          <w:sz w:val="28"/>
          <w:szCs w:val="28"/>
        </w:rPr>
        <w:t>3.</w:t>
      </w:r>
      <w:r>
        <w:rPr>
          <w:rFonts w:ascii="仿宋_GB2312" w:eastAsia="仿宋_GB2312" w:hint="eastAsia"/>
          <w:spacing w:val="2"/>
          <w:sz w:val="28"/>
          <w:szCs w:val="28"/>
          <w:lang w:val="en-US" w:eastAsia="zh-CN"/>
        </w:rPr>
        <w:t>6</w:t>
      </w:r>
      <w:r>
        <w:rPr>
          <w:rFonts w:ascii="仿宋_GB2312" w:eastAsia="仿宋_GB2312" w:hint="eastAsia"/>
          <w:spacing w:val="2"/>
          <w:sz w:val="28"/>
          <w:szCs w:val="28"/>
        </w:rPr>
        <w:t>为本采购项目提供整体设计、规范编制或者项目管理、监理、检测等服务的供应商，不得再参加本采购项目。供应商自行承诺并承担后果，声明函不实的，按《政府采购法》有关提供虚假材料的有关规定给予处罚。</w:t>
      </w:r>
    </w:p>
    <w:p>
      <w:pPr>
        <w:spacing w:line="360" w:lineRule="auto"/>
        <w:rPr>
          <w:rFonts w:ascii="仿宋_GB2312" w:eastAsia="仿宋_GB2312" w:hint="eastAsia"/>
          <w:spacing w:val="2"/>
          <w:sz w:val="28"/>
          <w:szCs w:val="28"/>
        </w:rPr>
      </w:pPr>
      <w:r>
        <w:rPr>
          <w:rFonts w:ascii="仿宋_GB2312" w:eastAsia="仿宋_GB2312" w:hint="eastAsia"/>
          <w:spacing w:val="2"/>
          <w:sz w:val="28"/>
          <w:szCs w:val="28"/>
        </w:rPr>
        <w:t>3.</w:t>
      </w:r>
      <w:r>
        <w:rPr>
          <w:rFonts w:ascii="仿宋_GB2312" w:eastAsia="仿宋_GB2312" w:hint="eastAsia"/>
          <w:spacing w:val="2"/>
          <w:sz w:val="28"/>
          <w:szCs w:val="28"/>
          <w:lang w:val="en-US" w:eastAsia="zh-CN"/>
        </w:rPr>
        <w:t>7</w:t>
      </w:r>
      <w:r>
        <w:rPr>
          <w:rFonts w:ascii="仿宋_GB2312" w:eastAsia="仿宋_GB2312" w:hint="eastAsia"/>
          <w:spacing w:val="2"/>
          <w:sz w:val="28"/>
          <w:szCs w:val="28"/>
        </w:rPr>
        <w:t>本项目采取资格后审，开标后，将由</w:t>
      </w:r>
      <w:r>
        <w:rPr>
          <w:rFonts w:ascii="仿宋_GB2312" w:eastAsia="仿宋_GB2312" w:hint="eastAsia"/>
          <w:spacing w:val="2"/>
          <w:sz w:val="28"/>
          <w:szCs w:val="28"/>
          <w:lang w:val="en-US" w:eastAsia="zh-CN"/>
        </w:rPr>
        <w:t>谈判</w:t>
      </w:r>
      <w:r>
        <w:rPr>
          <w:rFonts w:ascii="仿宋_GB2312" w:eastAsia="仿宋_GB2312" w:hint="eastAsia"/>
          <w:spacing w:val="2"/>
          <w:sz w:val="28"/>
          <w:szCs w:val="28"/>
        </w:rPr>
        <w:t>小组对供应商的资格证明材料（文件）进行资格审核</w:t>
      </w:r>
      <w:r>
        <w:rPr>
          <w:rFonts w:ascii="仿宋_GB2312" w:eastAsia="仿宋_GB2312" w:hint="eastAsia"/>
          <w:spacing w:val="2"/>
          <w:sz w:val="28"/>
          <w:szCs w:val="28"/>
          <w:lang w:eastAsia="zh-CN"/>
        </w:rPr>
        <w:t>，</w:t>
      </w:r>
      <w:r>
        <w:rPr>
          <w:rFonts w:ascii="仿宋_GB2312" w:eastAsia="仿宋_GB2312" w:hint="eastAsia"/>
          <w:spacing w:val="2"/>
          <w:sz w:val="28"/>
          <w:szCs w:val="28"/>
        </w:rPr>
        <w:t>未按要求逐一提供、或资格审查不合格的为无效投标，供应商应自负其风险费用。</w:t>
      </w:r>
    </w:p>
    <w:p>
      <w:pPr>
        <w:spacing w:line="360" w:lineRule="auto"/>
      </w:pPr>
      <w:r>
        <w:rPr>
          <w:rFonts w:ascii="仿宋_GB2312" w:eastAsia="仿宋_GB2312" w:hint="eastAsia"/>
          <w:spacing w:val="2"/>
          <w:sz w:val="28"/>
          <w:szCs w:val="28"/>
        </w:rPr>
        <w:t>3.</w:t>
      </w:r>
      <w:r>
        <w:rPr>
          <w:rFonts w:ascii="仿宋_GB2312" w:eastAsia="仿宋_GB2312" w:hint="eastAsia"/>
          <w:spacing w:val="2"/>
          <w:sz w:val="28"/>
          <w:szCs w:val="28"/>
          <w:lang w:val="en-US" w:eastAsia="zh-CN"/>
        </w:rPr>
        <w:t>8</w:t>
      </w:r>
      <w:r>
        <w:rPr>
          <w:rFonts w:ascii="仿宋_GB2312" w:eastAsia="仿宋_GB2312" w:hint="eastAsia"/>
          <w:spacing w:val="2"/>
          <w:sz w:val="28"/>
          <w:szCs w:val="28"/>
        </w:rPr>
        <w:t>具备法律、行政法规规定的其他条件。</w:t>
      </w:r>
    </w:p>
    <w:p>
      <w:pPr>
        <w:spacing w:line="360" w:lineRule="auto"/>
        <w:rPr>
          <w:rFonts w:ascii="仿宋_GB2312" w:eastAsia="仿宋_GB2312"/>
          <w:b/>
          <w:sz w:val="28"/>
          <w:szCs w:val="28"/>
        </w:rPr>
      </w:pPr>
      <w:r>
        <w:rPr>
          <w:rFonts w:ascii="仿宋_GB2312" w:eastAsia="仿宋_GB2312" w:hint="eastAsia"/>
          <w:b/>
          <w:sz w:val="28"/>
          <w:szCs w:val="28"/>
        </w:rPr>
        <w:t>三、获取采购文件：</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 xml:space="preserve">1.时间：2023年 </w:t>
      </w:r>
      <w:r>
        <w:rPr>
          <w:rFonts w:ascii="仿宋_GB2312" w:eastAsia="仿宋_GB2312" w:hint="eastAsia"/>
          <w:sz w:val="28"/>
          <w:szCs w:val="28"/>
          <w:lang w:val="en-US" w:eastAsia="zh-CN"/>
        </w:rPr>
        <w:t>9</w:t>
      </w:r>
      <w:r>
        <w:rPr>
          <w:rFonts w:ascii="仿宋_GB2312" w:eastAsia="仿宋_GB2312" w:hint="eastAsia"/>
          <w:sz w:val="28"/>
          <w:szCs w:val="28"/>
        </w:rPr>
        <w:t>月</w:t>
      </w:r>
      <w:r>
        <w:rPr>
          <w:rFonts w:ascii="仿宋_GB2312" w:eastAsia="仿宋_GB2312" w:hint="eastAsia"/>
          <w:sz w:val="28"/>
          <w:szCs w:val="28"/>
          <w:lang w:val="en-US" w:eastAsia="zh-CN"/>
        </w:rPr>
        <w:t>9</w:t>
      </w:r>
      <w:r>
        <w:rPr>
          <w:rFonts w:ascii="仿宋_GB2312" w:eastAsia="仿宋_GB2312" w:hint="eastAsia"/>
          <w:sz w:val="28"/>
          <w:szCs w:val="28"/>
        </w:rPr>
        <w:t xml:space="preserve"> 日至2023年 </w:t>
      </w:r>
      <w:r>
        <w:rPr>
          <w:rFonts w:ascii="仿宋_GB2312" w:eastAsia="仿宋_GB2312" w:hint="eastAsia"/>
          <w:sz w:val="28"/>
          <w:szCs w:val="28"/>
          <w:lang w:val="en-US" w:eastAsia="zh-CN"/>
        </w:rPr>
        <w:t>9</w:t>
      </w:r>
      <w:r>
        <w:rPr>
          <w:rFonts w:ascii="仿宋_GB2312" w:eastAsia="仿宋_GB2312" w:hint="eastAsia"/>
          <w:sz w:val="28"/>
          <w:szCs w:val="28"/>
        </w:rPr>
        <w:t xml:space="preserve">月 </w:t>
      </w:r>
      <w:r>
        <w:rPr>
          <w:rFonts w:ascii="仿宋_GB2312" w:eastAsia="仿宋_GB2312" w:hint="eastAsia"/>
          <w:sz w:val="28"/>
          <w:szCs w:val="28"/>
          <w:lang w:val="en-US" w:eastAsia="zh-CN"/>
        </w:rPr>
        <w:t>13</w:t>
      </w:r>
      <w:r>
        <w:rPr>
          <w:rFonts w:ascii="仿宋_GB2312" w:eastAsia="仿宋_GB2312" w:hint="eastAsia"/>
          <w:sz w:val="28"/>
          <w:szCs w:val="28"/>
        </w:rPr>
        <w:t>日，每天上午00:00至12:00，下午12:00至23:59（北京时间，法定节假日除外。）</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2.地点：安阳市公共资源交易中心网站（ggzy.anyang.gov.cn）</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3.方式：供应商登陆安阳市公共资源交易中心网站，凭企业数字证书点击“投标用户入口”登录“政府采购”系统，获取采购文件及其它资料（具体办理流程请查询安阳市公共资源交易中心网站-投标指南-政府采购-《安阳市政府采购项目投标流程》。</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4.售价：0元</w:t>
      </w:r>
    </w:p>
    <w:p>
      <w:pPr>
        <w:spacing w:line="360" w:lineRule="auto"/>
        <w:rPr>
          <w:rFonts w:ascii="仿宋_GB2312" w:eastAsia="仿宋_GB2312"/>
          <w:sz w:val="28"/>
          <w:szCs w:val="28"/>
        </w:rPr>
      </w:pPr>
      <w:r>
        <w:rPr>
          <w:rFonts w:ascii="仿宋_GB2312" w:eastAsia="仿宋_GB2312" w:hint="eastAsia"/>
          <w:b/>
          <w:sz w:val="28"/>
          <w:szCs w:val="28"/>
        </w:rPr>
        <w:t>四、响应文件提交：</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 xml:space="preserve">1.截止时间：2023年 </w:t>
      </w:r>
      <w:r>
        <w:rPr>
          <w:rFonts w:ascii="仿宋_GB2312" w:eastAsia="仿宋_GB2312" w:hint="eastAsia"/>
          <w:sz w:val="28"/>
          <w:szCs w:val="28"/>
          <w:lang w:val="en-US" w:eastAsia="zh-CN"/>
        </w:rPr>
        <w:t>9</w:t>
      </w:r>
      <w:r>
        <w:rPr>
          <w:rFonts w:ascii="仿宋_GB2312" w:eastAsia="仿宋_GB2312" w:hint="eastAsia"/>
          <w:sz w:val="28"/>
          <w:szCs w:val="28"/>
        </w:rPr>
        <w:t>月</w:t>
      </w:r>
      <w:r>
        <w:rPr>
          <w:rFonts w:ascii="仿宋_GB2312" w:eastAsia="仿宋_GB2312" w:hint="eastAsia"/>
          <w:sz w:val="28"/>
          <w:szCs w:val="28"/>
          <w:lang w:val="en-US" w:eastAsia="zh-CN"/>
        </w:rPr>
        <w:t>15</w:t>
      </w:r>
      <w:r>
        <w:rPr>
          <w:rFonts w:ascii="仿宋_GB2312" w:eastAsia="仿宋_GB2312" w:hint="eastAsia"/>
          <w:sz w:val="28"/>
          <w:szCs w:val="28"/>
        </w:rPr>
        <w:t xml:space="preserve">日09时00分（北京时间） </w:t>
      </w:r>
    </w:p>
    <w:p>
      <w:pPr>
        <w:spacing w:line="360" w:lineRule="auto"/>
        <w:ind w:firstLine="560" w:firstLineChars="200"/>
        <w:rPr>
          <w:rFonts w:ascii="仿宋_GB2312" w:eastAsia="仿宋_GB2312"/>
          <w:b/>
          <w:sz w:val="32"/>
          <w:szCs w:val="32"/>
        </w:rPr>
      </w:pPr>
      <w:r>
        <w:rPr>
          <w:rFonts w:ascii="仿宋_GB2312" w:eastAsia="仿宋_GB2312" w:hint="eastAsia"/>
          <w:sz w:val="28"/>
          <w:szCs w:val="28"/>
        </w:rPr>
        <w:t>2.地点：供应商登录安阳市公共资源交易中心网站，点击“投标用户入口”登录“政府采购”系统，选择所投项目，上传密封后的电子响应文件。</w:t>
      </w:r>
    </w:p>
    <w:p>
      <w:pPr>
        <w:spacing w:line="360" w:lineRule="auto"/>
        <w:rPr>
          <w:rFonts w:ascii="仿宋_GB2312" w:eastAsia="仿宋_GB2312"/>
          <w:sz w:val="28"/>
          <w:szCs w:val="28"/>
        </w:rPr>
      </w:pPr>
      <w:r>
        <w:rPr>
          <w:rFonts w:ascii="仿宋_GB2312" w:eastAsia="仿宋_GB2312" w:hint="eastAsia"/>
          <w:b/>
          <w:sz w:val="28"/>
          <w:szCs w:val="28"/>
        </w:rPr>
        <w:t>五、响应文件开启：</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1.时间：2023年</w:t>
      </w:r>
      <w:r>
        <w:rPr>
          <w:rFonts w:ascii="仿宋_GB2312" w:eastAsia="仿宋_GB2312" w:hint="eastAsia"/>
          <w:sz w:val="28"/>
          <w:szCs w:val="28"/>
          <w:lang w:val="en-US" w:eastAsia="zh-CN"/>
        </w:rPr>
        <w:t>9</w:t>
      </w:r>
      <w:r>
        <w:rPr>
          <w:rFonts w:ascii="仿宋_GB2312" w:eastAsia="仿宋_GB2312" w:hint="eastAsia"/>
          <w:sz w:val="28"/>
          <w:szCs w:val="28"/>
        </w:rPr>
        <w:t xml:space="preserve"> 月</w:t>
      </w:r>
      <w:r>
        <w:rPr>
          <w:rFonts w:ascii="仿宋_GB2312" w:eastAsia="仿宋_GB2312" w:hint="eastAsia"/>
          <w:sz w:val="28"/>
          <w:szCs w:val="28"/>
          <w:lang w:val="en-US" w:eastAsia="zh-CN"/>
        </w:rPr>
        <w:t>15</w:t>
      </w:r>
      <w:r>
        <w:rPr>
          <w:rFonts w:ascii="仿宋_GB2312" w:eastAsia="仿宋_GB2312" w:hint="eastAsia"/>
          <w:sz w:val="28"/>
          <w:szCs w:val="28"/>
        </w:rPr>
        <w:t xml:space="preserve">日09时00分（北京时间） </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2.地点：安阳市公共资源交易中心五楼集中开标大厅</w:t>
      </w:r>
      <w:r>
        <w:rPr>
          <w:rFonts w:ascii="仿宋_GB2312" w:eastAsia="仿宋_GB2312" w:hint="eastAsia"/>
          <w:sz w:val="28"/>
          <w:szCs w:val="28"/>
          <w:u w:val="single"/>
          <w:lang w:val="en-US" w:eastAsia="zh-CN"/>
        </w:rPr>
        <w:t xml:space="preserve"> 5 </w:t>
      </w:r>
      <w:r>
        <w:rPr>
          <w:rFonts w:ascii="仿宋_GB2312" w:eastAsia="仿宋_GB2312" w:hint="eastAsia"/>
          <w:sz w:val="28"/>
          <w:szCs w:val="28"/>
        </w:rPr>
        <w:t>室。本项目采用“远程不见面”开标方式，供应商须提前进入安阳市公共资源交易中心网站“网上开标大厅”，进行开标操作和响应文件的解密。</w:t>
      </w:r>
    </w:p>
    <w:p>
      <w:pPr>
        <w:spacing w:line="360" w:lineRule="auto"/>
        <w:rPr>
          <w:rFonts w:ascii="仿宋_GB2312" w:eastAsia="仿宋_GB2312"/>
          <w:b/>
          <w:sz w:val="28"/>
          <w:szCs w:val="28"/>
        </w:rPr>
      </w:pPr>
      <w:r>
        <w:rPr>
          <w:rFonts w:ascii="仿宋_GB2312" w:eastAsia="仿宋_GB2312" w:hint="eastAsia"/>
          <w:b/>
          <w:sz w:val="28"/>
          <w:szCs w:val="28"/>
        </w:rPr>
        <w:t>六、发布公告的媒介及公告期限：</w:t>
      </w:r>
    </w:p>
    <w:p>
      <w:pPr>
        <w:kinsoku w:val="0"/>
        <w:overflowPunct w:val="0"/>
        <w:autoSpaceDE w:val="0"/>
        <w:autoSpaceDN w:val="0"/>
        <w:adjustRightInd w:val="0"/>
        <w:snapToGrid w:val="0"/>
        <w:spacing w:line="360" w:lineRule="auto"/>
        <w:ind w:firstLine="280" w:firstLineChars="100"/>
        <w:rPr>
          <w:rFonts w:ascii="仿宋_GB2312" w:eastAsia="仿宋_GB2312"/>
          <w:b/>
          <w:sz w:val="32"/>
          <w:szCs w:val="32"/>
        </w:rPr>
      </w:pPr>
      <w:r>
        <w:rPr>
          <w:rFonts w:ascii="仿宋_GB2312" w:eastAsia="仿宋_GB2312" w:hint="eastAsia"/>
          <w:sz w:val="28"/>
          <w:szCs w:val="28"/>
        </w:rPr>
        <w:t>本次招标公告在</w:t>
      </w:r>
      <w:r>
        <w:rPr>
          <w:rFonts w:ascii="仿宋_GB2312" w:eastAsia="仿宋_GB2312" w:hint="eastAsia"/>
          <w:sz w:val="28"/>
          <w:szCs w:val="28"/>
          <w:lang w:eastAsia="zh-CN"/>
        </w:rPr>
        <w:t>《</w:t>
      </w:r>
      <w:r>
        <w:rPr>
          <w:rFonts w:ascii="仿宋_GB2312" w:eastAsia="仿宋_GB2312" w:hint="eastAsia"/>
          <w:sz w:val="28"/>
          <w:szCs w:val="28"/>
        </w:rPr>
        <w:t>河南省政府采购网</w:t>
      </w:r>
      <w:r>
        <w:rPr>
          <w:rFonts w:ascii="仿宋_GB2312" w:eastAsia="仿宋_GB2312" w:hint="eastAsia"/>
          <w:sz w:val="28"/>
          <w:szCs w:val="28"/>
          <w:lang w:eastAsia="zh-CN"/>
        </w:rPr>
        <w:t>》《</w:t>
      </w:r>
      <w:r>
        <w:rPr>
          <w:rFonts w:ascii="仿宋_GB2312" w:eastAsia="仿宋_GB2312" w:hint="eastAsia"/>
          <w:sz w:val="28"/>
          <w:szCs w:val="28"/>
        </w:rPr>
        <w:t>安阳市政府采购网</w:t>
      </w:r>
      <w:r>
        <w:rPr>
          <w:rFonts w:ascii="仿宋_GB2312" w:eastAsia="仿宋_GB2312" w:hint="eastAsia"/>
          <w:sz w:val="28"/>
          <w:szCs w:val="28"/>
          <w:lang w:eastAsia="zh-CN"/>
        </w:rPr>
        <w:t>》《</w:t>
      </w:r>
      <w:r>
        <w:rPr>
          <w:rFonts w:ascii="仿宋_GB2312" w:eastAsia="仿宋_GB2312" w:hint="eastAsia"/>
          <w:sz w:val="28"/>
          <w:szCs w:val="28"/>
        </w:rPr>
        <w:t>安阳市公共资源交易中心网</w:t>
      </w:r>
      <w:r>
        <w:rPr>
          <w:rFonts w:ascii="仿宋_GB2312" w:eastAsia="仿宋_GB2312" w:hint="eastAsia"/>
          <w:sz w:val="28"/>
          <w:szCs w:val="28"/>
          <w:lang w:eastAsia="zh-CN"/>
        </w:rPr>
        <w:t>》</w:t>
      </w:r>
      <w:r>
        <w:rPr>
          <w:rFonts w:ascii="仿宋_GB2312" w:eastAsia="仿宋_GB2312" w:hint="eastAsia"/>
          <w:sz w:val="28"/>
          <w:szCs w:val="28"/>
        </w:rPr>
        <w:t>http://ggzy.anyang.gov.cn/”上发布。公告期限为三个工作日。</w:t>
      </w:r>
    </w:p>
    <w:p>
      <w:pPr>
        <w:spacing w:line="360" w:lineRule="auto"/>
        <w:rPr>
          <w:rFonts w:ascii="仿宋_GB2312" w:eastAsia="仿宋_GB2312"/>
          <w:b/>
          <w:sz w:val="28"/>
          <w:szCs w:val="28"/>
        </w:rPr>
      </w:pPr>
      <w:r>
        <w:rPr>
          <w:rFonts w:ascii="仿宋_GB2312" w:eastAsia="仿宋_GB2312" w:hint="eastAsia"/>
          <w:b/>
          <w:sz w:val="28"/>
          <w:szCs w:val="28"/>
        </w:rPr>
        <w:t>七、其他补充事宜</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1.供应商下载采购文件前需</w:t>
      </w:r>
      <w:r>
        <w:rPr>
          <w:rFonts w:ascii="仿宋_GB2312" w:eastAsia="仿宋_GB2312"/>
          <w:sz w:val="28"/>
          <w:szCs w:val="28"/>
        </w:rPr>
        <w:t>进入安阳市公共资源交易中心网站，点击右上角“注册”按钮进行注册。</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2.本项目采用“远程不见面”方式进行，供应商需提前办理CA数字证书及电子签章。</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3.供应商登录安阳市公共资源交易中心网站，点击“投标用户入口”登录“政府采购”系统，选择所投项目，上传密封后的电子响应文件。如对已上传的电子响应文件进行修改，供应商可以重新上传。响应文件提交截止时间后，系统将自动锁定已经上传的电子响应文件，拒绝修改。</w:t>
      </w:r>
    </w:p>
    <w:p>
      <w:pPr>
        <w:spacing w:line="360" w:lineRule="auto"/>
        <w:ind w:firstLine="560" w:firstLineChars="200"/>
        <w:rPr>
          <w:rFonts w:ascii="仿宋_GB2312" w:eastAsia="仿宋_GB2312"/>
          <w:sz w:val="28"/>
          <w:szCs w:val="28"/>
        </w:rPr>
      </w:pPr>
      <w:r>
        <w:rPr>
          <w:rFonts w:ascii="仿宋_GB2312" w:eastAsia="仿宋_GB2312" w:hint="eastAsia"/>
          <w:sz w:val="28"/>
          <w:szCs w:val="28"/>
        </w:rPr>
        <w:t>4.安阳市市县一体化公共资源电子交易系统由北京筑龙信息技术有限责任公司提供技术支持，如遇技术问题可拨打服务热线</w:t>
      </w:r>
      <w:r>
        <w:rPr>
          <w:rFonts w:ascii="仿宋_GB2312" w:eastAsia="仿宋_GB2312"/>
          <w:sz w:val="28"/>
          <w:szCs w:val="28"/>
        </w:rPr>
        <w:t>010-86483801</w:t>
      </w:r>
      <w:r>
        <w:rPr>
          <w:rFonts w:ascii="仿宋_GB2312" w:eastAsia="仿宋_GB2312" w:hint="eastAsia"/>
          <w:sz w:val="28"/>
          <w:szCs w:val="28"/>
        </w:rPr>
        <w:t>。</w:t>
      </w:r>
    </w:p>
    <w:p>
      <w:pPr>
        <w:spacing w:line="360" w:lineRule="auto"/>
        <w:ind w:firstLine="560" w:firstLineChars="200"/>
        <w:rPr>
          <w:rFonts w:ascii="仿宋_GB2312" w:eastAsia="仿宋_GB2312"/>
          <w:b/>
          <w:sz w:val="28"/>
          <w:szCs w:val="28"/>
        </w:rPr>
      </w:pPr>
      <w:r>
        <w:rPr>
          <w:rFonts w:ascii="仿宋_GB2312" w:eastAsia="仿宋_GB2312" w:hint="eastAsia"/>
          <w:sz w:val="28"/>
          <w:szCs w:val="28"/>
        </w:rPr>
        <w:t>5.根据豫财购〔2017〕10号和安财购〔2017〕7号文件要求，参加政府采购项目的中小微企业供应商，持中标（成交）通知书可向金融机构申请合同融资。详情请登录安阳市政府采购网，进入网站飘窗或业务指南窗口了解金融机构提供的融资服务内容。</w:t>
      </w:r>
    </w:p>
    <w:p>
      <w:pPr>
        <w:spacing w:line="360" w:lineRule="auto"/>
        <w:rPr>
          <w:rFonts w:ascii="仿宋_GB2312" w:eastAsia="仿宋_GB2312"/>
          <w:b/>
          <w:sz w:val="28"/>
          <w:szCs w:val="28"/>
        </w:rPr>
      </w:pPr>
      <w:r>
        <w:rPr>
          <w:rFonts w:ascii="仿宋_GB2312" w:eastAsia="仿宋_GB2312" w:hint="eastAsia"/>
          <w:b/>
          <w:sz w:val="28"/>
          <w:szCs w:val="28"/>
        </w:rPr>
        <w:t xml:space="preserve">八、凡对本次招标提出询问，请按照以下方式联系 </w:t>
      </w:r>
    </w:p>
    <w:p>
      <w:pPr>
        <w:spacing w:line="360" w:lineRule="auto"/>
        <w:ind w:firstLine="560" w:firstLineChars="200"/>
        <w:rPr>
          <w:rFonts w:ascii="仿宋_GB2312" w:eastAsia="仿宋_GB2312" w:hAnsi="Times New Roman" w:cs="Times New Roman" w:hint="eastAsia"/>
          <w:sz w:val="28"/>
          <w:szCs w:val="28"/>
          <w:lang w:val="en-US" w:eastAsia="zh-CN"/>
        </w:rPr>
      </w:pPr>
      <w:bookmarkStart w:id="2" w:name="_Toc51833323"/>
      <w:r>
        <w:rPr>
          <w:rFonts w:ascii="仿宋_GB2312" w:eastAsia="仿宋_GB2312" w:hAnsi="Times New Roman" w:cs="Times New Roman" w:hint="eastAsia"/>
          <w:sz w:val="28"/>
          <w:szCs w:val="28"/>
          <w:lang w:val="en-US" w:eastAsia="zh-CN"/>
        </w:rPr>
        <w:t>1.采购人：安阳市公安局交通管理支队</w:t>
      </w:r>
    </w:p>
    <w:p>
      <w:pPr>
        <w:spacing w:line="360" w:lineRule="auto"/>
        <w:ind w:firstLine="560" w:firstLineChars="200"/>
        <w:rPr>
          <w:rFonts w:hint="eastAsia"/>
          <w:lang w:val="en-US" w:eastAsia="zh-CN"/>
        </w:rPr>
      </w:pPr>
      <w:r>
        <w:rPr>
          <w:rFonts w:ascii="仿宋_GB2312" w:eastAsia="仿宋_GB2312" w:hAnsi="Times New Roman" w:cs="Times New Roman" w:hint="eastAsia"/>
          <w:sz w:val="28"/>
          <w:szCs w:val="28"/>
          <w:lang w:val="en-US" w:eastAsia="zh-CN"/>
        </w:rPr>
        <w:t>地址：安阳市文昌大道中段</w:t>
      </w:r>
    </w:p>
    <w:p>
      <w:pPr>
        <w:spacing w:line="360" w:lineRule="auto"/>
        <w:ind w:firstLine="560" w:firstLineChars="200"/>
        <w:rPr>
          <w:rFonts w:ascii="仿宋_GB2312" w:eastAsia="仿宋_GB2312" w:hAnsi="Times New Roman" w:cs="Times New Roman" w:hint="default"/>
          <w:sz w:val="28"/>
          <w:szCs w:val="28"/>
          <w:lang w:val="en-US" w:eastAsia="zh-CN"/>
        </w:rPr>
      </w:pPr>
      <w:r>
        <w:rPr>
          <w:rFonts w:ascii="仿宋_GB2312" w:eastAsia="仿宋_GB2312" w:hAnsi="Times New Roman" w:cs="Times New Roman" w:hint="eastAsia"/>
          <w:sz w:val="28"/>
          <w:szCs w:val="28"/>
          <w:lang w:val="en-US" w:eastAsia="zh-CN"/>
        </w:rPr>
        <w:t>联系人：</w:t>
      </w:r>
      <w:r>
        <w:rPr>
          <w:rFonts w:ascii="仿宋_GB2312" w:eastAsia="仿宋_GB2312" w:cs="Times New Roman" w:hint="eastAsia"/>
          <w:sz w:val="28"/>
          <w:szCs w:val="28"/>
          <w:lang w:val="en-US" w:eastAsia="zh-CN"/>
        </w:rPr>
        <w:t>程思浩</w:t>
      </w:r>
    </w:p>
    <w:p>
      <w:pPr>
        <w:spacing w:line="360" w:lineRule="auto"/>
        <w:ind w:firstLine="560" w:firstLineChars="200"/>
        <w:rPr>
          <w:rFonts w:ascii="仿宋_GB2312" w:eastAsia="仿宋_GB2312" w:hAnsi="Times New Roman" w:cs="Times New Roman" w:hint="default"/>
          <w:sz w:val="28"/>
          <w:szCs w:val="28"/>
          <w:lang w:val="en-US" w:eastAsia="zh-CN"/>
        </w:rPr>
      </w:pPr>
      <w:r>
        <w:rPr>
          <w:rFonts w:ascii="仿宋_GB2312" w:eastAsia="仿宋_GB2312" w:hAnsi="Times New Roman" w:cs="Times New Roman" w:hint="eastAsia"/>
          <w:sz w:val="28"/>
          <w:szCs w:val="28"/>
          <w:lang w:val="en-US" w:eastAsia="zh-CN"/>
        </w:rPr>
        <w:t>电话：</w:t>
      </w:r>
      <w:r>
        <w:rPr>
          <w:rFonts w:ascii="仿宋_GB2312" w:eastAsia="仿宋_GB2312" w:cs="Times New Roman" w:hint="eastAsia"/>
          <w:sz w:val="28"/>
          <w:szCs w:val="28"/>
          <w:lang w:val="en-US" w:eastAsia="zh-CN"/>
        </w:rPr>
        <w:t>18637281050</w:t>
      </w:r>
    </w:p>
    <w:p>
      <w:pPr>
        <w:spacing w:line="360" w:lineRule="auto"/>
        <w:ind w:firstLine="560" w:firstLineChars="200"/>
        <w:rPr>
          <w:rFonts w:ascii="仿宋_GB2312" w:eastAsia="仿宋_GB2312" w:hAnsi="Times New Roman" w:cs="Times New Roman" w:hint="eastAsia"/>
          <w:sz w:val="28"/>
          <w:szCs w:val="28"/>
          <w:lang w:val="en-US" w:eastAsia="zh-CN"/>
        </w:rPr>
      </w:pPr>
      <w:r>
        <w:rPr>
          <w:rFonts w:ascii="仿宋_GB2312" w:eastAsia="仿宋_GB2312" w:hAnsi="Times New Roman" w:cs="Times New Roman" w:hint="eastAsia"/>
          <w:sz w:val="28"/>
          <w:szCs w:val="28"/>
          <w:lang w:val="en-US" w:eastAsia="zh-CN"/>
        </w:rPr>
        <w:t>2.采购代理机构：之京城市管理集团有限责任公司</w:t>
      </w:r>
    </w:p>
    <w:p>
      <w:pPr>
        <w:spacing w:line="360" w:lineRule="auto"/>
        <w:ind w:firstLine="560" w:firstLineChars="200"/>
        <w:rPr>
          <w:rFonts w:hint="eastAsia"/>
          <w:lang w:val="en-US" w:eastAsia="zh-CN"/>
        </w:rPr>
      </w:pPr>
      <w:r>
        <w:rPr>
          <w:rFonts w:ascii="仿宋_GB2312" w:eastAsia="仿宋_GB2312" w:hAnsi="Times New Roman" w:cs="Times New Roman" w:hint="eastAsia"/>
          <w:sz w:val="28"/>
          <w:szCs w:val="28"/>
          <w:lang w:val="en-US" w:eastAsia="zh-CN"/>
        </w:rPr>
        <w:t>地址：安阳市文峰区文峰大道与兴泰路交叉口西南角骏怡酒店17楼</w:t>
      </w:r>
    </w:p>
    <w:p>
      <w:pPr>
        <w:spacing w:line="360" w:lineRule="auto"/>
        <w:ind w:firstLine="560" w:firstLineChars="200"/>
        <w:rPr>
          <w:rFonts w:ascii="仿宋_GB2312" w:eastAsia="仿宋_GB2312" w:hAnsi="Times New Roman" w:cs="Times New Roman" w:hint="eastAsia"/>
          <w:sz w:val="28"/>
          <w:szCs w:val="28"/>
          <w:lang w:val="en-US" w:eastAsia="zh-CN"/>
        </w:rPr>
      </w:pPr>
      <w:r>
        <w:rPr>
          <w:rFonts w:ascii="仿宋_GB2312" w:eastAsia="仿宋_GB2312" w:hAnsi="Times New Roman" w:cs="Times New Roman" w:hint="eastAsia"/>
          <w:sz w:val="28"/>
          <w:szCs w:val="28"/>
          <w:lang w:val="en-US" w:eastAsia="zh-CN"/>
        </w:rPr>
        <w:t>联系人：苏超</w:t>
      </w:r>
    </w:p>
    <w:p>
      <w:pPr>
        <w:spacing w:line="360" w:lineRule="auto"/>
        <w:ind w:firstLine="560" w:firstLineChars="200"/>
        <w:rPr>
          <w:rFonts w:ascii="仿宋_GB2312" w:eastAsia="仿宋_GB2312" w:hAnsi="Times New Roman" w:cs="Times New Roman" w:hint="default"/>
          <w:sz w:val="28"/>
          <w:szCs w:val="28"/>
          <w:lang w:val="en-US" w:eastAsia="zh-CN"/>
        </w:rPr>
      </w:pPr>
      <w:r>
        <w:rPr>
          <w:rFonts w:ascii="仿宋_GB2312" w:eastAsia="仿宋_GB2312" w:hAnsi="Times New Roman" w:cs="Times New Roman" w:hint="eastAsia"/>
          <w:sz w:val="28"/>
          <w:szCs w:val="28"/>
          <w:lang w:val="en-US" w:eastAsia="zh-CN"/>
        </w:rPr>
        <w:t>电话：13903724590</w:t>
      </w:r>
    </w:p>
    <w:p>
      <w:pPr>
        <w:spacing w:line="360" w:lineRule="auto"/>
        <w:ind w:firstLine="560" w:firstLineChars="200"/>
        <w:rPr>
          <w:rFonts w:ascii="仿宋_GB2312" w:eastAsia="仿宋_GB2312" w:hAnsi="Times New Roman" w:cs="Times New Roman" w:hint="default"/>
          <w:sz w:val="28"/>
          <w:szCs w:val="28"/>
          <w:lang w:val="en-US" w:eastAsia="zh-CN"/>
        </w:rPr>
      </w:pPr>
      <w:r>
        <w:rPr>
          <w:rFonts w:ascii="仿宋_GB2312" w:eastAsia="仿宋_GB2312" w:hAnsi="Times New Roman" w:cs="Times New Roman" w:hint="eastAsia"/>
          <w:sz w:val="28"/>
          <w:szCs w:val="28"/>
          <w:lang w:val="en-US" w:eastAsia="zh-CN"/>
        </w:rPr>
        <w:t>3.项目联系方式</w:t>
      </w:r>
    </w:p>
    <w:p>
      <w:pPr>
        <w:spacing w:line="360" w:lineRule="auto"/>
        <w:ind w:firstLine="560" w:firstLineChars="200"/>
        <w:rPr>
          <w:rFonts w:ascii="仿宋_GB2312" w:eastAsia="仿宋_GB2312" w:hAnsi="Times New Roman" w:cs="Times New Roman" w:hint="eastAsia"/>
          <w:sz w:val="28"/>
          <w:szCs w:val="28"/>
          <w:lang w:val="en-US" w:eastAsia="zh-CN"/>
        </w:rPr>
      </w:pPr>
      <w:r>
        <w:rPr>
          <w:rFonts w:ascii="仿宋_GB2312" w:eastAsia="仿宋_GB2312" w:hAnsi="Times New Roman" w:cs="Times New Roman" w:hint="eastAsia"/>
          <w:sz w:val="28"/>
          <w:szCs w:val="28"/>
          <w:lang w:val="en-US" w:eastAsia="zh-CN"/>
        </w:rPr>
        <w:t>项目联系人：苏超</w:t>
      </w:r>
    </w:p>
    <w:p>
      <w:pPr>
        <w:spacing w:line="360" w:lineRule="auto"/>
        <w:ind w:firstLine="560" w:firstLineChars="200"/>
        <w:rPr>
          <w:rFonts w:ascii="仿宋_GB2312" w:eastAsia="仿宋_GB2312" w:hAnsi="Times New Roman" w:cs="Times New Roman" w:hint="default"/>
          <w:sz w:val="28"/>
          <w:szCs w:val="28"/>
          <w:lang w:val="en-US" w:eastAsia="zh-CN"/>
        </w:rPr>
      </w:pPr>
      <w:r>
        <w:rPr>
          <w:rFonts w:ascii="仿宋_GB2312" w:eastAsia="仿宋_GB2312" w:hAnsi="Times New Roman" w:cs="Times New Roman" w:hint="eastAsia"/>
          <w:sz w:val="28"/>
          <w:szCs w:val="28"/>
          <w:lang w:val="en-US" w:eastAsia="zh-CN"/>
        </w:rPr>
        <w:t>联系方式：13903724590</w:t>
      </w:r>
    </w:p>
    <w:p>
      <w:pPr>
        <w:pStyle w:val="Heading1"/>
        <w:pageBreakBefore/>
        <w:numPr>
          <w:ilvl w:val="0"/>
          <w:numId w:val="1"/>
        </w:numPr>
        <w:adjustRightInd w:val="0"/>
        <w:snapToGrid w:val="0"/>
        <w:spacing w:line="120" w:lineRule="atLeast"/>
        <w:jc w:val="center"/>
        <w:rPr>
          <w:rFonts w:ascii="宋体" w:hAnsi="宋体"/>
          <w:sz w:val="36"/>
          <w:szCs w:val="36"/>
        </w:rPr>
      </w:pPr>
      <w:r>
        <w:rPr>
          <w:rFonts w:ascii="宋体" w:hAnsi="宋体" w:hint="eastAsia"/>
          <w:sz w:val="36"/>
          <w:szCs w:val="36"/>
        </w:rPr>
        <w:t xml:space="preserve"> </w:t>
      </w:r>
      <w:r>
        <w:rPr>
          <w:rFonts w:ascii="宋体" w:hAnsi="宋体" w:hint="eastAsia"/>
          <w:sz w:val="36"/>
          <w:szCs w:val="36"/>
          <w:lang w:val="en-US" w:eastAsia="zh-CN"/>
        </w:rPr>
        <w:t xml:space="preserve">   </w:t>
      </w:r>
      <w:r>
        <w:rPr>
          <w:rFonts w:ascii="宋体" w:hAnsi="宋体" w:hint="eastAsia"/>
          <w:sz w:val="36"/>
          <w:szCs w:val="36"/>
        </w:rPr>
        <w:t>采购人需求</w:t>
      </w:r>
      <w:bookmarkEnd w:id="2"/>
    </w:p>
    <w:p>
      <w:pPr>
        <w:numPr>
          <w:ilvl w:val="0"/>
          <w:numId w:val="4"/>
        </w:numPr>
        <w:tabs>
          <w:tab w:val="left" w:pos="9180"/>
        </w:tabs>
        <w:snapToGrid w:val="0"/>
        <w:spacing w:before="142" w:beforeLines="50" w:after="142" w:afterLines="50" w:line="700" w:lineRule="atLeast"/>
        <w:jc w:val="center"/>
        <w:rPr>
          <w:rFonts w:ascii="宋体" w:hAnsi="宋体" w:cs="Times New Roman" w:hint="eastAsia"/>
          <w:b/>
          <w:sz w:val="36"/>
          <w:lang w:val="en-US" w:eastAsia="zh-CN"/>
        </w:rPr>
      </w:pPr>
      <w:r>
        <w:rPr>
          <w:rFonts w:ascii="宋体" w:eastAsia="宋体" w:hAnsi="宋体" w:cs="Times New Roman" w:hint="eastAsia"/>
          <w:b/>
          <w:sz w:val="36"/>
          <w:lang w:val="en-US" w:eastAsia="zh-CN"/>
        </w:rPr>
        <w:t>技术参数</w:t>
      </w:r>
      <w:r>
        <w:rPr>
          <w:rFonts w:ascii="宋体" w:hAnsi="宋体" w:cs="Times New Roman" w:hint="eastAsia"/>
          <w:b/>
          <w:sz w:val="36"/>
          <w:lang w:val="en-US" w:eastAsia="zh-CN"/>
        </w:rPr>
        <w:t>及服务要求</w:t>
      </w:r>
    </w:p>
    <w:tbl>
      <w:tblPr>
        <w:tblStyle w:val="TableNormal"/>
        <w:tblpPr w:leftFromText="180" w:rightFromText="180" w:vertAnchor="text" w:horzAnchor="margin" w:tblpXSpec="center" w:tblpY="16"/>
        <w:tblW w:w="9455" w:type="dxa"/>
        <w:jc w:val="center"/>
        <w:tblLayout w:type="fixed"/>
        <w:tblCellMar>
          <w:top w:w="0" w:type="dxa"/>
          <w:left w:w="108" w:type="dxa"/>
          <w:bottom w:w="0" w:type="dxa"/>
          <w:right w:w="108" w:type="dxa"/>
        </w:tblCellMar>
      </w:tblPr>
      <w:tblGrid>
        <w:gridCol w:w="912"/>
        <w:gridCol w:w="720"/>
        <w:gridCol w:w="707"/>
        <w:gridCol w:w="3506"/>
        <w:gridCol w:w="747"/>
        <w:gridCol w:w="1693"/>
        <w:gridCol w:w="1170"/>
      </w:tblGrid>
      <w:tr>
        <w:tblPrEx>
          <w:tblW w:w="9455" w:type="dxa"/>
          <w:jc w:val="center"/>
          <w:tblLayout w:type="fixed"/>
          <w:tblCellMar>
            <w:top w:w="0" w:type="dxa"/>
            <w:left w:w="108" w:type="dxa"/>
            <w:bottom w:w="0" w:type="dxa"/>
            <w:right w:w="108" w:type="dxa"/>
          </w:tblCellMar>
        </w:tblPrEx>
        <w:trPr>
          <w:trHeight w:val="692"/>
          <w:jc w:val="center"/>
        </w:trPr>
        <w:tc>
          <w:tcPr>
            <w:tcW w:w="912" w:type="dxa"/>
            <w:tcBorders>
              <w:top w:val="single" w:sz="4" w:space="0" w:color="000000"/>
              <w:left w:val="single" w:sz="4" w:space="0" w:color="auto"/>
              <w:bottom w:val="single" w:sz="4" w:space="0" w:color="000000"/>
              <w:right w:val="single" w:sz="4" w:space="0" w:color="auto"/>
            </w:tcBorders>
            <w:noWrap w:val="0"/>
            <w:vAlign w:val="center"/>
          </w:tcPr>
          <w:p>
            <w:pPr>
              <w:jc w:val="center"/>
              <w:rPr>
                <w:rFonts w:ascii="宋体" w:hAnsi="宋体"/>
                <w:sz w:val="24"/>
              </w:rPr>
            </w:pPr>
            <w:r>
              <w:rPr>
                <w:rFonts w:ascii="宋体" w:hAnsi="宋体" w:hint="eastAsia"/>
                <w:sz w:val="24"/>
              </w:rPr>
              <w:t>鉴定范围</w:t>
            </w:r>
          </w:p>
        </w:tc>
        <w:tc>
          <w:tcPr>
            <w:tcW w:w="720" w:type="dxa"/>
            <w:tcBorders>
              <w:top w:val="single" w:sz="4" w:space="0" w:color="000000"/>
              <w:left w:val="single" w:sz="4" w:space="0" w:color="auto"/>
              <w:bottom w:val="single" w:sz="4" w:space="0" w:color="000000"/>
              <w:right w:val="single" w:sz="4" w:space="0" w:color="auto"/>
            </w:tcBorders>
            <w:noWrap w:val="0"/>
            <w:vAlign w:val="center"/>
          </w:tcPr>
          <w:p>
            <w:pPr>
              <w:jc w:val="center"/>
              <w:rPr>
                <w:rFonts w:ascii="宋体" w:hAnsi="宋体"/>
                <w:sz w:val="24"/>
              </w:rPr>
            </w:pPr>
            <w:r>
              <w:rPr>
                <w:rFonts w:ascii="宋体" w:hAnsi="宋体" w:hint="eastAsia"/>
                <w:sz w:val="24"/>
              </w:rPr>
              <w:t>序号</w:t>
            </w:r>
          </w:p>
        </w:tc>
        <w:tc>
          <w:tcPr>
            <w:tcW w:w="4213" w:type="dxa"/>
            <w:gridSpan w:val="2"/>
            <w:tcBorders>
              <w:top w:val="single" w:sz="4" w:space="0" w:color="000000"/>
              <w:left w:val="single" w:sz="4" w:space="0" w:color="auto"/>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鉴定项目</w:t>
            </w:r>
          </w:p>
        </w:tc>
        <w:tc>
          <w:tcPr>
            <w:tcW w:w="747"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单位</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单项最高限价（元）</w:t>
            </w:r>
          </w:p>
        </w:tc>
        <w:tc>
          <w:tcPr>
            <w:tcW w:w="1170"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数量（约）</w:t>
            </w:r>
          </w:p>
        </w:tc>
      </w:tr>
      <w:tr>
        <w:tblPrEx>
          <w:tblW w:w="9455" w:type="dxa"/>
          <w:jc w:val="center"/>
          <w:tblLayout w:type="fixed"/>
          <w:tblCellMar>
            <w:top w:w="0" w:type="dxa"/>
            <w:left w:w="108" w:type="dxa"/>
            <w:bottom w:w="0" w:type="dxa"/>
            <w:right w:w="108" w:type="dxa"/>
          </w:tblCellMar>
        </w:tblPrEx>
        <w:trPr>
          <w:trHeight w:val="729"/>
          <w:jc w:val="center"/>
        </w:trPr>
        <w:tc>
          <w:tcPr>
            <w:tcW w:w="912" w:type="dxa"/>
            <w:vMerge w:val="restart"/>
            <w:tcBorders>
              <w:top w:val="single" w:sz="4" w:space="0" w:color="000000"/>
              <w:left w:val="single" w:sz="4" w:space="0" w:color="auto"/>
              <w:right w:val="single" w:sz="4" w:space="0" w:color="000000"/>
            </w:tcBorders>
            <w:noWrap w:val="0"/>
            <w:vAlign w:val="center"/>
          </w:tcPr>
          <w:p>
            <w:pPr>
              <w:jc w:val="center"/>
              <w:rPr>
                <w:rFonts w:ascii="宋体" w:hAnsi="宋体"/>
                <w:sz w:val="24"/>
              </w:rPr>
            </w:pPr>
            <w:r>
              <w:rPr>
                <w:rFonts w:ascii="宋体" w:hAnsi="宋体" w:hint="eastAsia"/>
                <w:b/>
                <w:bCs/>
                <w:sz w:val="24"/>
              </w:rPr>
              <w:t>交通事故痕迹物证鉴定</w:t>
            </w:r>
          </w:p>
        </w:tc>
        <w:tc>
          <w:tcPr>
            <w:tcW w:w="720" w:type="dxa"/>
            <w:vMerge w:val="restart"/>
            <w:tcBorders>
              <w:top w:val="single" w:sz="4" w:space="0" w:color="000000"/>
              <w:left w:val="single" w:sz="4" w:space="0" w:color="000000"/>
              <w:right w:val="single" w:sz="4" w:space="0" w:color="auto"/>
            </w:tcBorders>
            <w:noWrap w:val="0"/>
            <w:vAlign w:val="center"/>
          </w:tcPr>
          <w:p>
            <w:pPr>
              <w:jc w:val="center"/>
              <w:rPr>
                <w:rFonts w:ascii="宋体" w:hAnsi="宋体"/>
                <w:szCs w:val="21"/>
              </w:rPr>
            </w:pPr>
            <w:r>
              <w:rPr>
                <w:rFonts w:ascii="宋体" w:hAnsi="宋体" w:hint="eastAsia"/>
                <w:sz w:val="24"/>
              </w:rPr>
              <w:t>车辆安全技术状况鉴定</w:t>
            </w:r>
          </w:p>
        </w:tc>
        <w:tc>
          <w:tcPr>
            <w:tcW w:w="707" w:type="dxa"/>
            <w:tcBorders>
              <w:top w:val="single" w:sz="4" w:space="0" w:color="000000"/>
              <w:left w:val="single" w:sz="4" w:space="0" w:color="auto"/>
              <w:bottom w:val="single" w:sz="4" w:space="0" w:color="000000"/>
              <w:right w:val="single" w:sz="4" w:space="0" w:color="auto"/>
            </w:tcBorders>
            <w:noWrap w:val="0"/>
            <w:vAlign w:val="center"/>
          </w:tcPr>
          <w:p>
            <w:pPr>
              <w:jc w:val="center"/>
              <w:rPr>
                <w:rFonts w:ascii="宋体" w:hAnsi="宋体"/>
                <w:sz w:val="24"/>
              </w:rPr>
            </w:pPr>
            <w:r>
              <w:rPr>
                <w:rFonts w:ascii="宋体" w:hAnsi="宋体" w:hint="eastAsia"/>
                <w:sz w:val="24"/>
              </w:rPr>
              <w:t>1</w:t>
            </w:r>
          </w:p>
        </w:tc>
        <w:tc>
          <w:tcPr>
            <w:tcW w:w="3506" w:type="dxa"/>
            <w:tcBorders>
              <w:top w:val="single" w:sz="4" w:space="0" w:color="000000"/>
              <w:left w:val="single" w:sz="4" w:space="0" w:color="auto"/>
              <w:bottom w:val="single" w:sz="4" w:space="0" w:color="000000"/>
              <w:right w:val="single" w:sz="4" w:space="0" w:color="000000"/>
            </w:tcBorders>
            <w:noWrap w:val="0"/>
            <w:vAlign w:val="center"/>
          </w:tcPr>
          <w:p>
            <w:pPr>
              <w:rPr>
                <w:rFonts w:ascii="宋体" w:hAnsi="宋体"/>
                <w:sz w:val="24"/>
              </w:rPr>
            </w:pPr>
            <w:r>
              <w:rPr>
                <w:rFonts w:ascii="宋体" w:hAnsi="宋体" w:hint="eastAsia"/>
                <w:sz w:val="24"/>
              </w:rPr>
              <w:t>涉案车辆类型鉴定（属性）</w:t>
            </w:r>
          </w:p>
        </w:tc>
        <w:tc>
          <w:tcPr>
            <w:tcW w:w="747"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辆</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sz w:val="24"/>
              </w:rPr>
              <w:t>1200</w:t>
            </w:r>
          </w:p>
        </w:tc>
        <w:tc>
          <w:tcPr>
            <w:tcW w:w="1170"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274</w:t>
            </w:r>
          </w:p>
        </w:tc>
      </w:tr>
      <w:tr>
        <w:tblPrEx>
          <w:tblW w:w="9455" w:type="dxa"/>
          <w:jc w:val="center"/>
          <w:tblLayout w:type="fixed"/>
          <w:tblCellMar>
            <w:top w:w="0" w:type="dxa"/>
            <w:left w:w="108" w:type="dxa"/>
            <w:bottom w:w="0" w:type="dxa"/>
            <w:right w:w="108" w:type="dxa"/>
          </w:tblCellMar>
        </w:tblPrEx>
        <w:trPr>
          <w:trHeight w:val="947"/>
          <w:jc w:val="center"/>
        </w:trPr>
        <w:tc>
          <w:tcPr>
            <w:tcW w:w="912" w:type="dxa"/>
            <w:vMerge/>
            <w:tcBorders>
              <w:left w:val="single" w:sz="4" w:space="0" w:color="auto"/>
              <w:right w:val="single" w:sz="4" w:space="0" w:color="000000"/>
            </w:tcBorders>
            <w:noWrap w:val="0"/>
            <w:vAlign w:val="center"/>
          </w:tcPr>
          <w:p>
            <w:pPr>
              <w:jc w:val="center"/>
              <w:rPr>
                <w:rFonts w:ascii="宋体" w:hAnsi="宋体"/>
                <w:sz w:val="24"/>
              </w:rPr>
            </w:pPr>
          </w:p>
        </w:tc>
        <w:tc>
          <w:tcPr>
            <w:tcW w:w="720" w:type="dxa"/>
            <w:vMerge/>
            <w:tcBorders>
              <w:left w:val="single" w:sz="4" w:space="0" w:color="000000"/>
              <w:right w:val="single" w:sz="4" w:space="0" w:color="auto"/>
            </w:tcBorders>
            <w:noWrap w:val="0"/>
            <w:vAlign w:val="center"/>
          </w:tcPr>
          <w:p>
            <w:pPr>
              <w:jc w:val="center"/>
              <w:rPr>
                <w:rFonts w:ascii="宋体" w:hAnsi="宋体"/>
                <w:szCs w:val="21"/>
              </w:rPr>
            </w:pPr>
          </w:p>
        </w:tc>
        <w:tc>
          <w:tcPr>
            <w:tcW w:w="707" w:type="dxa"/>
            <w:tcBorders>
              <w:top w:val="single" w:sz="4" w:space="0" w:color="000000"/>
              <w:left w:val="single" w:sz="4" w:space="0" w:color="auto"/>
              <w:bottom w:val="nil"/>
              <w:right w:val="single" w:sz="4" w:space="0" w:color="auto"/>
            </w:tcBorders>
            <w:noWrap w:val="0"/>
            <w:vAlign w:val="center"/>
          </w:tcPr>
          <w:p>
            <w:pPr>
              <w:jc w:val="center"/>
              <w:rPr>
                <w:rFonts w:ascii="宋体" w:hAnsi="宋体"/>
                <w:sz w:val="24"/>
              </w:rPr>
            </w:pPr>
            <w:r>
              <w:rPr>
                <w:rFonts w:ascii="宋体" w:hAnsi="宋体" w:hint="eastAsia"/>
                <w:sz w:val="24"/>
              </w:rPr>
              <w:t>2</w:t>
            </w:r>
          </w:p>
        </w:tc>
        <w:tc>
          <w:tcPr>
            <w:tcW w:w="3506" w:type="dxa"/>
            <w:tcBorders>
              <w:top w:val="single" w:sz="4" w:space="0" w:color="000000"/>
              <w:left w:val="single" w:sz="4" w:space="0" w:color="auto"/>
              <w:bottom w:val="single" w:sz="4" w:space="0" w:color="auto"/>
              <w:right w:val="single" w:sz="4" w:space="0" w:color="000000"/>
            </w:tcBorders>
            <w:noWrap w:val="0"/>
            <w:vAlign w:val="center"/>
          </w:tcPr>
          <w:p>
            <w:pPr>
              <w:rPr>
                <w:rFonts w:ascii="宋体" w:hAnsi="宋体"/>
                <w:sz w:val="24"/>
              </w:rPr>
            </w:pPr>
            <w:r>
              <w:rPr>
                <w:rFonts w:ascii="宋体" w:hAnsi="宋体" w:hint="eastAsia"/>
                <w:sz w:val="24"/>
              </w:rPr>
              <w:t>车辆技术状况或性能的符合性（车辆轮迹、车辆载质量、反光标识、防护装置、灯光检验）</w:t>
            </w:r>
          </w:p>
        </w:tc>
        <w:tc>
          <w:tcPr>
            <w:tcW w:w="747"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个</w:t>
            </w:r>
            <w:r>
              <w:rPr>
                <w:rFonts w:ascii="宋体" w:hAnsi="宋体"/>
                <w:sz w:val="24"/>
              </w:rPr>
              <w:t>/</w:t>
            </w:r>
            <w:r>
              <w:rPr>
                <w:rFonts w:ascii="宋体" w:hAnsi="宋体" w:hint="eastAsia"/>
                <w:sz w:val="24"/>
              </w:rPr>
              <w:t>辆</w:t>
            </w:r>
            <w:r>
              <w:rPr>
                <w:rFonts w:ascii="宋体" w:hAnsi="宋体"/>
                <w:sz w:val="24"/>
              </w:rPr>
              <w:t>/</w:t>
            </w:r>
            <w:r>
              <w:rPr>
                <w:rFonts w:ascii="宋体" w:hAnsi="宋体" w:hint="eastAsia"/>
                <w:sz w:val="24"/>
              </w:rPr>
              <w:t>项</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300</w:t>
            </w:r>
          </w:p>
        </w:tc>
        <w:tc>
          <w:tcPr>
            <w:tcW w:w="1170"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20</w:t>
            </w:r>
          </w:p>
        </w:tc>
      </w:tr>
      <w:tr>
        <w:tblPrEx>
          <w:tblW w:w="9455" w:type="dxa"/>
          <w:jc w:val="center"/>
          <w:tblLayout w:type="fixed"/>
          <w:tblCellMar>
            <w:top w:w="0" w:type="dxa"/>
            <w:left w:w="108" w:type="dxa"/>
            <w:bottom w:w="0" w:type="dxa"/>
            <w:right w:w="108" w:type="dxa"/>
          </w:tblCellMar>
        </w:tblPrEx>
        <w:trPr>
          <w:trHeight w:val="947"/>
          <w:jc w:val="center"/>
        </w:trPr>
        <w:tc>
          <w:tcPr>
            <w:tcW w:w="912" w:type="dxa"/>
            <w:vMerge/>
            <w:tcBorders>
              <w:left w:val="single" w:sz="4" w:space="0" w:color="auto"/>
              <w:right w:val="single" w:sz="4" w:space="0" w:color="000000"/>
            </w:tcBorders>
            <w:noWrap w:val="0"/>
            <w:vAlign w:val="center"/>
          </w:tcPr>
          <w:p>
            <w:pPr>
              <w:jc w:val="center"/>
              <w:rPr>
                <w:rFonts w:ascii="宋体" w:hAnsi="宋体"/>
                <w:sz w:val="24"/>
              </w:rPr>
            </w:pPr>
          </w:p>
        </w:tc>
        <w:tc>
          <w:tcPr>
            <w:tcW w:w="720" w:type="dxa"/>
            <w:vMerge/>
            <w:tcBorders>
              <w:left w:val="single" w:sz="4" w:space="0" w:color="000000"/>
              <w:right w:val="single" w:sz="4" w:space="0" w:color="auto"/>
            </w:tcBorders>
            <w:noWrap w:val="0"/>
            <w:vAlign w:val="center"/>
          </w:tcPr>
          <w:p>
            <w:pPr>
              <w:jc w:val="center"/>
              <w:rPr>
                <w:rFonts w:ascii="宋体" w:hAnsi="宋体"/>
                <w:szCs w:val="21"/>
              </w:rPr>
            </w:pPr>
          </w:p>
        </w:tc>
        <w:tc>
          <w:tcPr>
            <w:tcW w:w="707" w:type="dxa"/>
            <w:tcBorders>
              <w:top w:val="single" w:sz="4" w:space="0" w:color="000000"/>
              <w:left w:val="single" w:sz="4" w:space="0" w:color="auto"/>
              <w:bottom w:val="nil"/>
              <w:right w:val="single" w:sz="4" w:space="0" w:color="auto"/>
            </w:tcBorders>
            <w:noWrap w:val="0"/>
            <w:vAlign w:val="center"/>
          </w:tcPr>
          <w:p>
            <w:pPr>
              <w:jc w:val="center"/>
              <w:rPr>
                <w:rFonts w:ascii="宋体" w:hAnsi="宋体"/>
                <w:sz w:val="24"/>
              </w:rPr>
            </w:pPr>
            <w:r>
              <w:rPr>
                <w:rFonts w:ascii="宋体" w:hAnsi="宋体" w:hint="eastAsia"/>
                <w:sz w:val="24"/>
              </w:rPr>
              <w:t>3</w:t>
            </w:r>
          </w:p>
        </w:tc>
        <w:tc>
          <w:tcPr>
            <w:tcW w:w="3506" w:type="dxa"/>
            <w:tcBorders>
              <w:top w:val="single" w:sz="4" w:space="0" w:color="000000"/>
              <w:left w:val="single" w:sz="4" w:space="0" w:color="auto"/>
              <w:bottom w:val="single" w:sz="4" w:space="0" w:color="auto"/>
              <w:right w:val="single" w:sz="4" w:space="0" w:color="000000"/>
            </w:tcBorders>
            <w:noWrap w:val="0"/>
            <w:vAlign w:val="center"/>
          </w:tcPr>
          <w:p>
            <w:pPr>
              <w:rPr>
                <w:rFonts w:ascii="宋体" w:hAnsi="宋体"/>
                <w:sz w:val="24"/>
              </w:rPr>
            </w:pPr>
            <w:r>
              <w:rPr>
                <w:rFonts w:ascii="宋体" w:hAnsi="宋体" w:hint="eastAsia"/>
                <w:sz w:val="24"/>
              </w:rPr>
              <w:t>车辆技术状况或性能的符合性（制动检测鉴定）</w:t>
            </w:r>
          </w:p>
        </w:tc>
        <w:tc>
          <w:tcPr>
            <w:tcW w:w="747"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组</w:t>
            </w:r>
            <w:r>
              <w:rPr>
                <w:rFonts w:ascii="宋体" w:hAnsi="宋体"/>
                <w:sz w:val="24"/>
              </w:rPr>
              <w:t>/</w:t>
            </w:r>
            <w:r>
              <w:rPr>
                <w:rFonts w:ascii="宋体" w:hAnsi="宋体" w:hint="eastAsia"/>
                <w:sz w:val="24"/>
              </w:rPr>
              <w:t>辆</w:t>
            </w:r>
            <w:r>
              <w:rPr>
                <w:rFonts w:ascii="宋体" w:hAnsi="宋体"/>
                <w:sz w:val="24"/>
              </w:rPr>
              <w:t>/</w:t>
            </w:r>
            <w:r>
              <w:rPr>
                <w:rFonts w:ascii="宋体" w:hAnsi="宋体" w:hint="eastAsia"/>
                <w:sz w:val="24"/>
              </w:rPr>
              <w:t>项</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700</w:t>
            </w:r>
          </w:p>
        </w:tc>
        <w:tc>
          <w:tcPr>
            <w:tcW w:w="1170"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100</w:t>
            </w:r>
          </w:p>
        </w:tc>
      </w:tr>
      <w:tr>
        <w:tblPrEx>
          <w:tblW w:w="9455" w:type="dxa"/>
          <w:jc w:val="center"/>
          <w:tblLayout w:type="fixed"/>
          <w:tblCellMar>
            <w:top w:w="0" w:type="dxa"/>
            <w:left w:w="108" w:type="dxa"/>
            <w:bottom w:w="0" w:type="dxa"/>
            <w:right w:w="108" w:type="dxa"/>
          </w:tblCellMar>
        </w:tblPrEx>
        <w:trPr>
          <w:trHeight w:val="761"/>
          <w:jc w:val="center"/>
        </w:trPr>
        <w:tc>
          <w:tcPr>
            <w:tcW w:w="912" w:type="dxa"/>
            <w:vMerge/>
            <w:tcBorders>
              <w:left w:val="single" w:sz="4" w:space="0" w:color="auto"/>
              <w:right w:val="single" w:sz="4" w:space="0" w:color="000000"/>
            </w:tcBorders>
            <w:noWrap w:val="0"/>
            <w:vAlign w:val="center"/>
          </w:tcPr>
          <w:p>
            <w:pPr>
              <w:jc w:val="center"/>
              <w:rPr>
                <w:rFonts w:ascii="宋体" w:hAnsi="宋体"/>
                <w:sz w:val="24"/>
              </w:rPr>
            </w:pPr>
          </w:p>
        </w:tc>
        <w:tc>
          <w:tcPr>
            <w:tcW w:w="720" w:type="dxa"/>
            <w:vMerge w:val="restart"/>
            <w:tcBorders>
              <w:top w:val="single" w:sz="4" w:space="0" w:color="auto"/>
              <w:left w:val="single" w:sz="4" w:space="0" w:color="000000"/>
              <w:right w:val="single" w:sz="4" w:space="0" w:color="auto"/>
            </w:tcBorders>
            <w:noWrap w:val="0"/>
            <w:vAlign w:val="center"/>
          </w:tcPr>
          <w:p>
            <w:pPr>
              <w:rPr>
                <w:rFonts w:ascii="宋体" w:hAnsi="宋体"/>
                <w:szCs w:val="21"/>
              </w:rPr>
            </w:pPr>
            <w:r>
              <w:rPr>
                <w:rFonts w:ascii="宋体" w:hAnsi="宋体" w:hint="eastAsia"/>
                <w:sz w:val="24"/>
              </w:rPr>
              <w:t>交通事故痕迹鉴定</w:t>
            </w:r>
          </w:p>
        </w:tc>
        <w:tc>
          <w:tcPr>
            <w:tcW w:w="707" w:type="dxa"/>
            <w:tcBorders>
              <w:top w:val="single" w:sz="4" w:space="0" w:color="auto"/>
              <w:left w:val="single" w:sz="4" w:space="0" w:color="auto"/>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4</w:t>
            </w:r>
          </w:p>
        </w:tc>
        <w:tc>
          <w:tcPr>
            <w:tcW w:w="3506" w:type="dxa"/>
            <w:tcBorders>
              <w:top w:val="single" w:sz="4" w:space="0" w:color="auto"/>
              <w:left w:val="single" w:sz="4" w:space="0" w:color="auto"/>
              <w:bottom w:val="single" w:sz="4" w:space="0" w:color="auto"/>
              <w:right w:val="single" w:sz="4" w:space="0" w:color="000000"/>
            </w:tcBorders>
            <w:noWrap w:val="0"/>
            <w:vAlign w:val="center"/>
          </w:tcPr>
          <w:p>
            <w:pPr>
              <w:rPr>
                <w:rFonts w:ascii="宋体" w:hAnsi="宋体"/>
                <w:sz w:val="24"/>
              </w:rPr>
            </w:pPr>
            <w:r>
              <w:rPr>
                <w:rFonts w:ascii="宋体" w:hAnsi="宋体" w:hint="eastAsia"/>
                <w:sz w:val="24"/>
              </w:rPr>
              <w:t>车辆痕迹鉴定</w:t>
            </w:r>
          </w:p>
        </w:tc>
        <w:tc>
          <w:tcPr>
            <w:tcW w:w="747"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辆</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787.5</w:t>
            </w:r>
          </w:p>
        </w:tc>
        <w:tc>
          <w:tcPr>
            <w:tcW w:w="1170"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180</w:t>
            </w:r>
          </w:p>
        </w:tc>
      </w:tr>
      <w:tr>
        <w:tblPrEx>
          <w:tblW w:w="9455" w:type="dxa"/>
          <w:jc w:val="center"/>
          <w:tblLayout w:type="fixed"/>
          <w:tblCellMar>
            <w:top w:w="0" w:type="dxa"/>
            <w:left w:w="108" w:type="dxa"/>
            <w:bottom w:w="0" w:type="dxa"/>
            <w:right w:w="108" w:type="dxa"/>
          </w:tblCellMar>
        </w:tblPrEx>
        <w:trPr>
          <w:trHeight w:val="675"/>
          <w:jc w:val="center"/>
        </w:trPr>
        <w:tc>
          <w:tcPr>
            <w:tcW w:w="912" w:type="dxa"/>
            <w:vMerge/>
            <w:tcBorders>
              <w:left w:val="single" w:sz="4" w:space="0" w:color="auto"/>
              <w:right w:val="single" w:sz="4" w:space="0" w:color="000000"/>
            </w:tcBorders>
            <w:noWrap w:val="0"/>
            <w:vAlign w:val="center"/>
          </w:tcPr>
          <w:p/>
        </w:tc>
        <w:tc>
          <w:tcPr>
            <w:tcW w:w="720" w:type="dxa"/>
            <w:vMerge/>
            <w:tcBorders>
              <w:left w:val="single" w:sz="4" w:space="0" w:color="000000"/>
              <w:right w:val="single" w:sz="4" w:space="0" w:color="auto"/>
            </w:tcBorders>
            <w:noWrap w:val="0"/>
            <w:vAlign w:val="center"/>
          </w:tcPr>
          <w:p/>
        </w:tc>
        <w:tc>
          <w:tcPr>
            <w:tcW w:w="707" w:type="dxa"/>
            <w:tcBorders>
              <w:top w:val="single" w:sz="4" w:space="0" w:color="auto"/>
              <w:left w:val="single" w:sz="4" w:space="0" w:color="auto"/>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5</w:t>
            </w:r>
          </w:p>
        </w:tc>
        <w:tc>
          <w:tcPr>
            <w:tcW w:w="3506" w:type="dxa"/>
            <w:tcBorders>
              <w:top w:val="single" w:sz="4" w:space="0" w:color="auto"/>
              <w:left w:val="single" w:sz="4" w:space="0" w:color="auto"/>
              <w:bottom w:val="single" w:sz="4" w:space="0" w:color="auto"/>
              <w:right w:val="single" w:sz="4" w:space="0" w:color="000000"/>
            </w:tcBorders>
            <w:noWrap w:val="0"/>
            <w:vAlign w:val="center"/>
          </w:tcPr>
          <w:p>
            <w:pPr>
              <w:rPr>
                <w:rFonts w:ascii="宋体" w:hAnsi="宋体"/>
                <w:sz w:val="24"/>
              </w:rPr>
            </w:pPr>
            <w:r>
              <w:rPr>
                <w:rFonts w:ascii="宋体" w:hAnsi="宋体" w:hint="eastAsia"/>
                <w:sz w:val="24"/>
              </w:rPr>
              <w:t>衣物痕迹鉴定</w:t>
            </w:r>
          </w:p>
        </w:tc>
        <w:tc>
          <w:tcPr>
            <w:tcW w:w="747"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件</w:t>
            </w:r>
          </w:p>
        </w:tc>
        <w:tc>
          <w:tcPr>
            <w:tcW w:w="1693"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460</w:t>
            </w:r>
          </w:p>
        </w:tc>
        <w:tc>
          <w:tcPr>
            <w:tcW w:w="1170" w:type="dxa"/>
            <w:tcBorders>
              <w:top w:val="single" w:sz="4" w:space="0" w:color="000000"/>
              <w:left w:val="single" w:sz="4" w:space="0" w:color="000000"/>
              <w:bottom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10</w:t>
            </w:r>
          </w:p>
        </w:tc>
      </w:tr>
      <w:tr>
        <w:tblPrEx>
          <w:tblW w:w="9455" w:type="dxa"/>
          <w:jc w:val="center"/>
          <w:tblLayout w:type="fixed"/>
          <w:tblCellMar>
            <w:top w:w="0" w:type="dxa"/>
            <w:left w:w="108" w:type="dxa"/>
            <w:bottom w:w="0" w:type="dxa"/>
            <w:right w:w="108" w:type="dxa"/>
          </w:tblCellMar>
        </w:tblPrEx>
        <w:trPr>
          <w:trHeight w:val="598"/>
          <w:jc w:val="center"/>
        </w:trPr>
        <w:tc>
          <w:tcPr>
            <w:tcW w:w="912" w:type="dxa"/>
            <w:vMerge/>
            <w:tcBorders>
              <w:left w:val="single" w:sz="4" w:space="0" w:color="auto"/>
              <w:right w:val="single" w:sz="4" w:space="0" w:color="000000"/>
            </w:tcBorders>
            <w:noWrap w:val="0"/>
            <w:vAlign w:val="center"/>
          </w:tcPr>
          <w:p>
            <w:pPr>
              <w:rPr>
                <w:rFonts w:ascii="宋体" w:hAnsi="宋体"/>
                <w:sz w:val="24"/>
              </w:rPr>
            </w:pPr>
          </w:p>
        </w:tc>
        <w:tc>
          <w:tcPr>
            <w:tcW w:w="720" w:type="dxa"/>
            <w:vMerge/>
            <w:tcBorders>
              <w:left w:val="single" w:sz="4" w:space="0" w:color="000000"/>
              <w:bottom w:val="single" w:sz="4" w:space="0" w:color="auto"/>
              <w:right w:val="single" w:sz="4" w:space="0" w:color="auto"/>
            </w:tcBorders>
            <w:noWrap w:val="0"/>
            <w:vAlign w:val="center"/>
          </w:tcPr>
          <w:p>
            <w:pPr>
              <w:rPr>
                <w:rFonts w:ascii="宋体" w:hAnsi="宋体"/>
                <w:sz w:val="24"/>
              </w:rPr>
            </w:pPr>
          </w:p>
        </w:tc>
        <w:tc>
          <w:tcPr>
            <w:tcW w:w="707" w:type="dxa"/>
            <w:tcBorders>
              <w:top w:val="single" w:sz="4" w:space="0" w:color="auto"/>
              <w:left w:val="single" w:sz="4" w:space="0" w:color="auto"/>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6</w:t>
            </w:r>
          </w:p>
        </w:tc>
        <w:tc>
          <w:tcPr>
            <w:tcW w:w="3506" w:type="dxa"/>
            <w:tcBorders>
              <w:top w:val="single" w:sz="4" w:space="0" w:color="auto"/>
              <w:left w:val="single" w:sz="4" w:space="0" w:color="auto"/>
              <w:bottom w:val="single" w:sz="4" w:space="0" w:color="auto"/>
              <w:right w:val="single" w:sz="4" w:space="0" w:color="000000"/>
            </w:tcBorders>
            <w:noWrap w:val="0"/>
            <w:vAlign w:val="center"/>
          </w:tcPr>
          <w:p>
            <w:pPr>
              <w:rPr>
                <w:rFonts w:ascii="宋体" w:hAnsi="宋体"/>
                <w:sz w:val="24"/>
              </w:rPr>
            </w:pPr>
            <w:r>
              <w:rPr>
                <w:rFonts w:ascii="宋体" w:hAnsi="宋体" w:hint="eastAsia"/>
                <w:sz w:val="24"/>
              </w:rPr>
              <w:t>整体分离鉴定</w:t>
            </w:r>
          </w:p>
        </w:tc>
        <w:tc>
          <w:tcPr>
            <w:tcW w:w="747" w:type="dxa"/>
            <w:tcBorders>
              <w:top w:val="single" w:sz="4" w:space="0" w:color="000000"/>
              <w:left w:val="single" w:sz="4" w:space="0" w:color="000000"/>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件</w:t>
            </w:r>
          </w:p>
        </w:tc>
        <w:tc>
          <w:tcPr>
            <w:tcW w:w="1693" w:type="dxa"/>
            <w:tcBorders>
              <w:top w:val="single" w:sz="4" w:space="0" w:color="000000"/>
              <w:left w:val="single" w:sz="4" w:space="0" w:color="000000"/>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630</w:t>
            </w:r>
          </w:p>
        </w:tc>
        <w:tc>
          <w:tcPr>
            <w:tcW w:w="1170" w:type="dxa"/>
            <w:tcBorders>
              <w:top w:val="single" w:sz="4" w:space="0" w:color="000000"/>
              <w:left w:val="single" w:sz="4" w:space="0" w:color="000000"/>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5</w:t>
            </w:r>
          </w:p>
        </w:tc>
      </w:tr>
      <w:tr>
        <w:tblPrEx>
          <w:tblW w:w="9455" w:type="dxa"/>
          <w:jc w:val="center"/>
          <w:tblLayout w:type="fixed"/>
          <w:tblCellMar>
            <w:top w:w="0" w:type="dxa"/>
            <w:left w:w="108" w:type="dxa"/>
            <w:bottom w:w="0" w:type="dxa"/>
            <w:right w:w="108" w:type="dxa"/>
          </w:tblCellMar>
        </w:tblPrEx>
        <w:trPr>
          <w:trHeight w:val="926"/>
          <w:jc w:val="center"/>
        </w:trPr>
        <w:tc>
          <w:tcPr>
            <w:tcW w:w="912" w:type="dxa"/>
            <w:vMerge/>
            <w:tcBorders>
              <w:left w:val="single" w:sz="4" w:space="0" w:color="auto"/>
              <w:right w:val="single" w:sz="4" w:space="0" w:color="000000"/>
            </w:tcBorders>
            <w:noWrap w:val="0"/>
            <w:vAlign w:val="center"/>
          </w:tcPr>
          <w:p>
            <w:pPr>
              <w:jc w:val="center"/>
              <w:rPr>
                <w:rFonts w:ascii="宋体" w:hAnsi="宋体"/>
                <w:sz w:val="24"/>
              </w:rPr>
            </w:pPr>
          </w:p>
        </w:tc>
        <w:tc>
          <w:tcPr>
            <w:tcW w:w="720" w:type="dxa"/>
            <w:vMerge w:val="restart"/>
            <w:tcBorders>
              <w:top w:val="single" w:sz="4" w:space="0" w:color="auto"/>
              <w:left w:val="single" w:sz="4" w:space="0" w:color="000000"/>
              <w:right w:val="single" w:sz="4" w:space="0" w:color="auto"/>
            </w:tcBorders>
            <w:noWrap w:val="0"/>
            <w:vAlign w:val="center"/>
          </w:tcPr>
          <w:p>
            <w:pPr>
              <w:jc w:val="center"/>
              <w:rPr>
                <w:rFonts w:ascii="宋体" w:hAnsi="宋体"/>
                <w:szCs w:val="21"/>
              </w:rPr>
            </w:pPr>
            <w:r>
              <w:rPr>
                <w:rFonts w:ascii="宋体" w:hAnsi="宋体" w:hint="eastAsia"/>
                <w:sz w:val="24"/>
              </w:rPr>
              <w:t>交通事故痕迹物证综合鉴定</w:t>
            </w:r>
          </w:p>
        </w:tc>
        <w:tc>
          <w:tcPr>
            <w:tcW w:w="707" w:type="dxa"/>
            <w:tcBorders>
              <w:top w:val="single" w:sz="4" w:space="0" w:color="auto"/>
              <w:left w:val="single" w:sz="4" w:space="0" w:color="auto"/>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7</w:t>
            </w:r>
          </w:p>
        </w:tc>
        <w:tc>
          <w:tcPr>
            <w:tcW w:w="3506" w:type="dxa"/>
            <w:tcBorders>
              <w:top w:val="single" w:sz="4" w:space="0" w:color="auto"/>
              <w:left w:val="single" w:sz="4" w:space="0" w:color="auto"/>
              <w:right w:val="single" w:sz="4" w:space="0" w:color="000000"/>
            </w:tcBorders>
            <w:noWrap w:val="0"/>
            <w:vAlign w:val="center"/>
          </w:tcPr>
          <w:p>
            <w:pPr>
              <w:rPr>
                <w:rFonts w:ascii="宋体" w:hAnsi="宋体"/>
                <w:sz w:val="24"/>
              </w:rPr>
            </w:pPr>
            <w:r>
              <w:rPr>
                <w:rFonts w:ascii="宋体" w:hAnsi="宋体" w:hint="eastAsia"/>
                <w:sz w:val="24"/>
              </w:rPr>
              <w:t>行驶方向、行驶停止、行走方向、接触顺序</w:t>
            </w:r>
          </w:p>
        </w:tc>
        <w:tc>
          <w:tcPr>
            <w:tcW w:w="747" w:type="dxa"/>
            <w:tcBorders>
              <w:top w:val="single" w:sz="4" w:space="0" w:color="auto"/>
              <w:left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辆</w:t>
            </w:r>
            <w:r>
              <w:rPr>
                <w:rFonts w:ascii="宋体" w:hAnsi="宋体"/>
                <w:sz w:val="24"/>
              </w:rPr>
              <w:t>/</w:t>
            </w:r>
            <w:r>
              <w:rPr>
                <w:rFonts w:ascii="宋体" w:hAnsi="宋体" w:hint="eastAsia"/>
                <w:sz w:val="24"/>
              </w:rPr>
              <w:t>件</w:t>
            </w:r>
            <w:r>
              <w:rPr>
                <w:rFonts w:ascii="宋体" w:hAnsi="宋体"/>
                <w:sz w:val="24"/>
              </w:rPr>
              <w:t>/</w:t>
            </w:r>
            <w:r>
              <w:rPr>
                <w:rFonts w:ascii="宋体" w:hAnsi="宋体" w:hint="eastAsia"/>
                <w:sz w:val="24"/>
              </w:rPr>
              <w:t>项</w:t>
            </w:r>
          </w:p>
        </w:tc>
        <w:tc>
          <w:tcPr>
            <w:tcW w:w="1693" w:type="dxa"/>
            <w:tcBorders>
              <w:top w:val="single" w:sz="4" w:space="0" w:color="auto"/>
              <w:left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1550</w:t>
            </w:r>
          </w:p>
        </w:tc>
        <w:tc>
          <w:tcPr>
            <w:tcW w:w="1170" w:type="dxa"/>
            <w:tcBorders>
              <w:top w:val="single" w:sz="4" w:space="0" w:color="auto"/>
              <w:left w:val="single" w:sz="4" w:space="0" w:color="000000"/>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10</w:t>
            </w:r>
          </w:p>
        </w:tc>
      </w:tr>
      <w:tr>
        <w:tblPrEx>
          <w:tblW w:w="9455" w:type="dxa"/>
          <w:jc w:val="center"/>
          <w:tblLayout w:type="fixed"/>
          <w:tblCellMar>
            <w:top w:w="0" w:type="dxa"/>
            <w:left w:w="108" w:type="dxa"/>
            <w:bottom w:w="0" w:type="dxa"/>
            <w:right w:w="108" w:type="dxa"/>
          </w:tblCellMar>
        </w:tblPrEx>
        <w:trPr>
          <w:trHeight w:val="926"/>
          <w:jc w:val="center"/>
        </w:trPr>
        <w:tc>
          <w:tcPr>
            <w:tcW w:w="912" w:type="dxa"/>
            <w:vMerge/>
            <w:tcBorders>
              <w:left w:val="single" w:sz="4" w:space="0" w:color="auto"/>
              <w:right w:val="single" w:sz="4" w:space="0" w:color="000000"/>
            </w:tcBorders>
            <w:noWrap w:val="0"/>
            <w:vAlign w:val="center"/>
          </w:tcPr>
          <w:p>
            <w:pPr>
              <w:jc w:val="center"/>
              <w:rPr>
                <w:rFonts w:ascii="宋体" w:hAnsi="宋体"/>
                <w:sz w:val="24"/>
              </w:rPr>
            </w:pPr>
          </w:p>
        </w:tc>
        <w:tc>
          <w:tcPr>
            <w:tcW w:w="720" w:type="dxa"/>
            <w:vMerge/>
            <w:tcBorders>
              <w:left w:val="single" w:sz="4" w:space="0" w:color="000000"/>
              <w:right w:val="single" w:sz="4" w:space="0" w:color="auto"/>
            </w:tcBorders>
            <w:noWrap w:val="0"/>
            <w:vAlign w:val="center"/>
          </w:tcPr>
          <w:p>
            <w:pPr>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sz w:val="24"/>
              </w:rPr>
            </w:pPr>
            <w:r>
              <w:rPr>
                <w:rFonts w:ascii="宋体" w:hAnsi="宋体" w:hint="eastAsia"/>
                <w:sz w:val="24"/>
              </w:rPr>
              <w:t>8</w:t>
            </w:r>
          </w:p>
        </w:tc>
        <w:tc>
          <w:tcPr>
            <w:tcW w:w="3506" w:type="dxa"/>
            <w:tcBorders>
              <w:top w:val="single" w:sz="4" w:space="0" w:color="auto"/>
              <w:left w:val="single" w:sz="4" w:space="0" w:color="auto"/>
              <w:right w:val="single" w:sz="4" w:space="0" w:color="000000"/>
            </w:tcBorders>
            <w:noWrap w:val="0"/>
            <w:vAlign w:val="center"/>
          </w:tcPr>
          <w:p>
            <w:pPr>
              <w:rPr>
                <w:rFonts w:ascii="宋体" w:hAnsi="宋体"/>
                <w:sz w:val="24"/>
              </w:rPr>
            </w:pPr>
            <w:r>
              <w:rPr>
                <w:rFonts w:ascii="宋体" w:hAnsi="宋体" w:hint="eastAsia"/>
                <w:sz w:val="24"/>
              </w:rPr>
              <w:t>骑行推行</w:t>
            </w:r>
          </w:p>
        </w:tc>
        <w:tc>
          <w:tcPr>
            <w:tcW w:w="747" w:type="dxa"/>
            <w:tcBorders>
              <w:top w:val="single" w:sz="4" w:space="0" w:color="auto"/>
              <w:left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件</w:t>
            </w:r>
          </w:p>
        </w:tc>
        <w:tc>
          <w:tcPr>
            <w:tcW w:w="1693" w:type="dxa"/>
            <w:tcBorders>
              <w:top w:val="single" w:sz="4" w:space="0" w:color="auto"/>
              <w:left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2100</w:t>
            </w:r>
          </w:p>
        </w:tc>
        <w:tc>
          <w:tcPr>
            <w:tcW w:w="1170" w:type="dxa"/>
            <w:tcBorders>
              <w:top w:val="single" w:sz="4" w:space="0" w:color="auto"/>
              <w:left w:val="single" w:sz="4" w:space="0" w:color="000000"/>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10</w:t>
            </w:r>
          </w:p>
        </w:tc>
      </w:tr>
      <w:tr>
        <w:tblPrEx>
          <w:tblW w:w="9455" w:type="dxa"/>
          <w:jc w:val="center"/>
          <w:tblLayout w:type="fixed"/>
          <w:tblCellMar>
            <w:top w:w="0" w:type="dxa"/>
            <w:left w:w="108" w:type="dxa"/>
            <w:bottom w:w="0" w:type="dxa"/>
            <w:right w:w="108" w:type="dxa"/>
          </w:tblCellMar>
        </w:tblPrEx>
        <w:trPr>
          <w:trHeight w:val="926"/>
          <w:jc w:val="center"/>
        </w:trPr>
        <w:tc>
          <w:tcPr>
            <w:tcW w:w="912" w:type="dxa"/>
            <w:vMerge/>
            <w:tcBorders>
              <w:left w:val="single" w:sz="4" w:space="0" w:color="auto"/>
              <w:right w:val="single" w:sz="4" w:space="0" w:color="000000"/>
            </w:tcBorders>
            <w:noWrap w:val="0"/>
            <w:vAlign w:val="center"/>
          </w:tcPr>
          <w:p>
            <w:pPr>
              <w:jc w:val="center"/>
              <w:rPr>
                <w:rFonts w:ascii="宋体" w:hAnsi="宋体"/>
                <w:sz w:val="24"/>
              </w:rPr>
            </w:pPr>
          </w:p>
        </w:tc>
        <w:tc>
          <w:tcPr>
            <w:tcW w:w="720" w:type="dxa"/>
            <w:vMerge/>
            <w:tcBorders>
              <w:left w:val="single" w:sz="4" w:space="0" w:color="000000"/>
              <w:bottom w:val="single" w:sz="4" w:space="0" w:color="000000"/>
              <w:right w:val="single" w:sz="4" w:space="0" w:color="auto"/>
            </w:tcBorders>
            <w:noWrap w:val="0"/>
            <w:vAlign w:val="center"/>
          </w:tcPr>
          <w:p>
            <w:pPr>
              <w:jc w:val="center"/>
              <w:rPr>
                <w:rFonts w:ascii="宋体" w:hAnsi="宋体"/>
                <w:szCs w:val="21"/>
              </w:rPr>
            </w:pPr>
          </w:p>
        </w:tc>
        <w:tc>
          <w:tcPr>
            <w:tcW w:w="707" w:type="dxa"/>
            <w:tcBorders>
              <w:top w:val="single" w:sz="4" w:space="0" w:color="auto"/>
              <w:left w:val="single" w:sz="4" w:space="0" w:color="auto"/>
              <w:bottom w:val="single" w:sz="4" w:space="0" w:color="auto"/>
              <w:right w:val="single" w:sz="4" w:space="0" w:color="auto"/>
            </w:tcBorders>
            <w:noWrap w:val="0"/>
            <w:vAlign w:val="center"/>
          </w:tcPr>
          <w:p>
            <w:pPr>
              <w:jc w:val="center"/>
              <w:rPr>
                <w:rFonts w:ascii="宋体" w:hAnsi="宋体"/>
                <w:sz w:val="24"/>
              </w:rPr>
            </w:pPr>
            <w:r>
              <w:rPr>
                <w:rFonts w:ascii="宋体" w:hAnsi="宋体" w:hint="eastAsia"/>
                <w:sz w:val="24"/>
              </w:rPr>
              <w:t>9</w:t>
            </w:r>
          </w:p>
        </w:tc>
        <w:tc>
          <w:tcPr>
            <w:tcW w:w="3506" w:type="dxa"/>
            <w:tcBorders>
              <w:top w:val="single" w:sz="4" w:space="0" w:color="auto"/>
              <w:left w:val="single" w:sz="4" w:space="0" w:color="auto"/>
              <w:right w:val="single" w:sz="4" w:space="0" w:color="000000"/>
            </w:tcBorders>
            <w:noWrap w:val="0"/>
            <w:vAlign w:val="center"/>
          </w:tcPr>
          <w:p>
            <w:pPr>
              <w:rPr>
                <w:rFonts w:ascii="宋体" w:hAnsi="宋体"/>
                <w:sz w:val="24"/>
              </w:rPr>
            </w:pPr>
            <w:r>
              <w:rPr>
                <w:rFonts w:ascii="宋体" w:hAnsi="宋体" w:hint="eastAsia"/>
                <w:sz w:val="24"/>
              </w:rPr>
              <w:t>驾驶员确定、车辆事故因果关系</w:t>
            </w:r>
          </w:p>
        </w:tc>
        <w:tc>
          <w:tcPr>
            <w:tcW w:w="747" w:type="dxa"/>
            <w:tcBorders>
              <w:top w:val="single" w:sz="4" w:space="0" w:color="auto"/>
              <w:left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件</w:t>
            </w:r>
            <w:r>
              <w:rPr>
                <w:rFonts w:ascii="宋体" w:hAnsi="宋体"/>
                <w:sz w:val="24"/>
              </w:rPr>
              <w:t>/</w:t>
            </w:r>
            <w:r>
              <w:rPr>
                <w:rFonts w:ascii="宋体" w:hAnsi="宋体" w:hint="eastAsia"/>
                <w:sz w:val="24"/>
              </w:rPr>
              <w:t>辆</w:t>
            </w:r>
            <w:r>
              <w:rPr>
                <w:rFonts w:ascii="宋体" w:hAnsi="宋体"/>
                <w:sz w:val="24"/>
              </w:rPr>
              <w:t>/</w:t>
            </w:r>
            <w:r>
              <w:rPr>
                <w:rFonts w:ascii="宋体" w:hAnsi="宋体" w:hint="eastAsia"/>
                <w:sz w:val="24"/>
              </w:rPr>
              <w:t>项</w:t>
            </w:r>
          </w:p>
        </w:tc>
        <w:tc>
          <w:tcPr>
            <w:tcW w:w="1693" w:type="dxa"/>
            <w:tcBorders>
              <w:top w:val="single" w:sz="4" w:space="0" w:color="auto"/>
              <w:left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2100</w:t>
            </w:r>
          </w:p>
        </w:tc>
        <w:tc>
          <w:tcPr>
            <w:tcW w:w="1170" w:type="dxa"/>
            <w:tcBorders>
              <w:top w:val="single" w:sz="4" w:space="0" w:color="auto"/>
              <w:left w:val="single" w:sz="4" w:space="0" w:color="000000"/>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5</w:t>
            </w:r>
          </w:p>
        </w:tc>
      </w:tr>
      <w:tr>
        <w:tblPrEx>
          <w:tblW w:w="9455" w:type="dxa"/>
          <w:jc w:val="center"/>
          <w:tblLayout w:type="fixed"/>
          <w:tblCellMar>
            <w:top w:w="0" w:type="dxa"/>
            <w:left w:w="108" w:type="dxa"/>
            <w:bottom w:w="0" w:type="dxa"/>
            <w:right w:w="108" w:type="dxa"/>
          </w:tblCellMar>
        </w:tblPrEx>
        <w:trPr>
          <w:trHeight w:val="982"/>
          <w:jc w:val="center"/>
        </w:trPr>
        <w:tc>
          <w:tcPr>
            <w:tcW w:w="912" w:type="dxa"/>
            <w:vMerge/>
            <w:tcBorders>
              <w:left w:val="single" w:sz="4" w:space="0" w:color="auto"/>
              <w:right w:val="single" w:sz="4" w:space="0" w:color="000000"/>
            </w:tcBorders>
            <w:noWrap w:val="0"/>
            <w:vAlign w:val="center"/>
          </w:tcPr>
          <w:p>
            <w:pPr>
              <w:jc w:val="center"/>
              <w:rPr>
                <w:rFonts w:ascii="宋体" w:hAnsi="宋体"/>
                <w:sz w:val="24"/>
              </w:rPr>
            </w:pPr>
          </w:p>
        </w:tc>
        <w:tc>
          <w:tcPr>
            <w:tcW w:w="720" w:type="dxa"/>
            <w:tcBorders>
              <w:top w:val="single" w:sz="4" w:space="0" w:color="000000"/>
              <w:left w:val="single" w:sz="4" w:space="0" w:color="000000"/>
              <w:bottom w:val="single" w:sz="4" w:space="0" w:color="000000"/>
              <w:right w:val="single" w:sz="4" w:space="0" w:color="auto"/>
            </w:tcBorders>
            <w:noWrap w:val="0"/>
            <w:vAlign w:val="center"/>
          </w:tcPr>
          <w:p>
            <w:pPr>
              <w:jc w:val="center"/>
              <w:rPr>
                <w:rFonts w:ascii="宋体" w:hAnsi="宋体"/>
                <w:szCs w:val="21"/>
              </w:rPr>
            </w:pPr>
            <w:r>
              <w:rPr>
                <w:rFonts w:ascii="宋体" w:hAnsi="宋体" w:hint="eastAsia"/>
                <w:szCs w:val="21"/>
              </w:rPr>
              <w:t>车辆速度鉴定</w:t>
            </w:r>
          </w:p>
        </w:tc>
        <w:tc>
          <w:tcPr>
            <w:tcW w:w="707" w:type="dxa"/>
            <w:tcBorders>
              <w:top w:val="single" w:sz="4" w:space="0" w:color="auto"/>
              <w:left w:val="single" w:sz="4" w:space="0" w:color="auto"/>
              <w:right w:val="single" w:sz="4" w:space="0" w:color="auto"/>
            </w:tcBorders>
            <w:noWrap w:val="0"/>
            <w:vAlign w:val="center"/>
          </w:tcPr>
          <w:p>
            <w:pPr>
              <w:jc w:val="center"/>
              <w:rPr>
                <w:rFonts w:ascii="宋体" w:hAnsi="宋体"/>
                <w:sz w:val="24"/>
              </w:rPr>
            </w:pPr>
            <w:r>
              <w:rPr>
                <w:rFonts w:ascii="宋体" w:hAnsi="宋体" w:hint="eastAsia"/>
                <w:sz w:val="24"/>
              </w:rPr>
              <w:t>10</w:t>
            </w:r>
          </w:p>
        </w:tc>
        <w:tc>
          <w:tcPr>
            <w:tcW w:w="3506" w:type="dxa"/>
            <w:tcBorders>
              <w:top w:val="single" w:sz="4" w:space="0" w:color="auto"/>
              <w:left w:val="single" w:sz="4" w:space="0" w:color="auto"/>
              <w:right w:val="single" w:sz="4" w:space="0" w:color="000000"/>
            </w:tcBorders>
            <w:noWrap w:val="0"/>
            <w:vAlign w:val="center"/>
          </w:tcPr>
          <w:p>
            <w:pPr>
              <w:rPr>
                <w:rFonts w:ascii="宋体" w:hAnsi="宋体"/>
                <w:sz w:val="24"/>
              </w:rPr>
            </w:pPr>
            <w:r>
              <w:rPr>
                <w:rFonts w:ascii="宋体" w:hAnsi="宋体" w:hint="eastAsia"/>
                <w:sz w:val="24"/>
              </w:rPr>
              <w:t>行驶速度鉴定</w:t>
            </w:r>
          </w:p>
        </w:tc>
        <w:tc>
          <w:tcPr>
            <w:tcW w:w="747" w:type="dxa"/>
            <w:tcBorders>
              <w:top w:val="single" w:sz="4" w:space="0" w:color="auto"/>
              <w:left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辆</w:t>
            </w:r>
          </w:p>
        </w:tc>
        <w:tc>
          <w:tcPr>
            <w:tcW w:w="1693" w:type="dxa"/>
            <w:tcBorders>
              <w:top w:val="single" w:sz="4" w:space="0" w:color="auto"/>
              <w:left w:val="single" w:sz="4" w:space="0" w:color="000000"/>
              <w:right w:val="single" w:sz="4" w:space="0" w:color="000000"/>
            </w:tcBorders>
            <w:noWrap w:val="0"/>
            <w:vAlign w:val="center"/>
          </w:tcPr>
          <w:p>
            <w:pPr>
              <w:jc w:val="center"/>
              <w:rPr>
                <w:rFonts w:ascii="宋体" w:hAnsi="宋体"/>
                <w:sz w:val="24"/>
              </w:rPr>
            </w:pPr>
            <w:r>
              <w:rPr>
                <w:rFonts w:ascii="宋体" w:hAnsi="宋体" w:hint="eastAsia"/>
                <w:sz w:val="24"/>
              </w:rPr>
              <w:t>1800</w:t>
            </w:r>
          </w:p>
        </w:tc>
        <w:tc>
          <w:tcPr>
            <w:tcW w:w="1170" w:type="dxa"/>
            <w:tcBorders>
              <w:top w:val="single" w:sz="4" w:space="0" w:color="auto"/>
              <w:left w:val="single" w:sz="4" w:space="0" w:color="000000"/>
              <w:bottom w:val="single" w:sz="4" w:space="0" w:color="auto"/>
              <w:right w:val="single" w:sz="4" w:space="0" w:color="000000"/>
            </w:tcBorders>
            <w:noWrap w:val="0"/>
            <w:vAlign w:val="center"/>
          </w:tcPr>
          <w:p>
            <w:pPr>
              <w:jc w:val="center"/>
              <w:rPr>
                <w:rFonts w:ascii="宋体" w:hAnsi="宋体"/>
                <w:sz w:val="24"/>
              </w:rPr>
            </w:pPr>
            <w:r>
              <w:rPr>
                <w:rFonts w:ascii="宋体" w:hAnsi="宋体" w:hint="eastAsia"/>
                <w:sz w:val="24"/>
              </w:rPr>
              <w:t>2</w:t>
            </w:r>
          </w:p>
        </w:tc>
      </w:tr>
      <w:tr>
        <w:tblPrEx>
          <w:tblW w:w="9455" w:type="dxa"/>
          <w:jc w:val="center"/>
          <w:tblLayout w:type="fixed"/>
          <w:tblCellMar>
            <w:top w:w="0" w:type="dxa"/>
            <w:left w:w="108" w:type="dxa"/>
            <w:bottom w:w="0" w:type="dxa"/>
            <w:right w:w="108" w:type="dxa"/>
          </w:tblCellMar>
        </w:tblPrEx>
        <w:trPr>
          <w:trHeight w:val="573"/>
          <w:jc w:val="center"/>
        </w:trPr>
        <w:tc>
          <w:tcPr>
            <w:tcW w:w="6592" w:type="dxa"/>
            <w:gridSpan w:val="5"/>
            <w:tcBorders>
              <w:top w:val="single" w:sz="4" w:space="0" w:color="auto"/>
              <w:left w:val="single" w:sz="4" w:space="0" w:color="auto"/>
              <w:bottom w:val="single" w:sz="4" w:space="0" w:color="auto"/>
              <w:right w:val="single" w:sz="4" w:space="0" w:color="000000"/>
            </w:tcBorders>
            <w:noWrap w:val="0"/>
            <w:vAlign w:val="center"/>
          </w:tcPr>
          <w:p>
            <w:pPr>
              <w:jc w:val="left"/>
              <w:rPr>
                <w:rFonts w:ascii="宋体" w:hAnsi="宋体"/>
                <w:sz w:val="24"/>
              </w:rPr>
            </w:pPr>
            <w:r>
              <w:rPr>
                <w:rFonts w:ascii="宋体" w:hAnsi="宋体" w:hint="eastAsia"/>
                <w:sz w:val="24"/>
              </w:rPr>
              <w:t>合计最高限价（元）</w:t>
            </w:r>
          </w:p>
        </w:tc>
        <w:tc>
          <w:tcPr>
            <w:tcW w:w="2863" w:type="dxa"/>
            <w:gridSpan w:val="2"/>
            <w:tcBorders>
              <w:top w:val="single" w:sz="4" w:space="0" w:color="auto"/>
              <w:left w:val="single" w:sz="4" w:space="0" w:color="000000"/>
              <w:bottom w:val="single" w:sz="4" w:space="0" w:color="auto"/>
              <w:right w:val="single" w:sz="4" w:space="0" w:color="000000"/>
            </w:tcBorders>
            <w:noWrap w:val="0"/>
            <w:vAlign w:val="center"/>
          </w:tcPr>
          <w:p>
            <w:pPr>
              <w:jc w:val="center"/>
              <w:rPr>
                <w:rFonts w:ascii="宋体" w:hAnsi="宋体"/>
                <w:sz w:val="24"/>
              </w:rPr>
            </w:pPr>
            <w:r>
              <w:rPr>
                <w:rFonts w:ascii="宋体" w:eastAsia="宋体" w:hAnsi="宋体" w:cs="Times New Roman" w:hint="eastAsia"/>
                <w:sz w:val="24"/>
                <w:lang w:eastAsia="zh-CN"/>
              </w:rPr>
              <w:t>604900.00</w:t>
            </w:r>
            <w:r>
              <w:rPr>
                <w:rFonts w:ascii="宋体" w:eastAsia="宋体" w:hAnsi="宋体" w:cs="Times New Roman" w:hint="eastAsia"/>
                <w:sz w:val="24"/>
                <w:lang w:val="en-US" w:eastAsia="zh-CN"/>
              </w:rPr>
              <w:t>元</w:t>
            </w:r>
          </w:p>
        </w:tc>
      </w:tr>
    </w:tbl>
    <w:p/>
    <w:p>
      <w:pPr>
        <w:numPr>
          <w:ilvl w:val="0"/>
          <w:numId w:val="5"/>
        </w:numPr>
        <w:snapToGrid w:val="0"/>
        <w:spacing w:line="560" w:lineRule="atLeast"/>
        <w:ind w:left="0" w:firstLine="0"/>
        <w:rPr>
          <w:rFonts w:ascii="仿宋_GB2312" w:eastAsia="仿宋_GB2312" w:hAnsi="Times New Roman" w:cs="Times New Roman" w:hint="eastAsia"/>
          <w:b/>
          <w:bCs/>
          <w:sz w:val="28"/>
          <w:szCs w:val="28"/>
          <w:highlight w:val="none"/>
          <w:lang w:val="en-US" w:eastAsia="zh-CN"/>
        </w:rPr>
      </w:pPr>
      <w:r>
        <w:rPr>
          <w:rFonts w:ascii="仿宋_GB2312" w:eastAsia="仿宋_GB2312" w:hint="eastAsia"/>
          <w:sz w:val="28"/>
          <w:szCs w:val="28"/>
          <w:lang w:val="en-US" w:eastAsia="zh-CN"/>
        </w:rPr>
        <w:t>合同价款结算，本项目结算以实际发生数量进行结算。以金额累计达到合同中标</w:t>
      </w:r>
      <w:r>
        <w:rPr>
          <w:rFonts w:ascii="仿宋_GB2312" w:eastAsia="仿宋_GB2312" w:hAnsi="Times New Roman" w:cs="Times New Roman" w:hint="eastAsia"/>
          <w:b w:val="0"/>
          <w:bCs w:val="0"/>
          <w:sz w:val="28"/>
          <w:szCs w:val="28"/>
          <w:highlight w:val="none"/>
          <w:lang w:val="en-US" w:eastAsia="zh-CN"/>
        </w:rPr>
        <w:t>总金额</w:t>
      </w:r>
      <w:r>
        <w:rPr>
          <w:rFonts w:ascii="仿宋_GB2312" w:eastAsia="仿宋_GB2312" w:hAnsi="Times New Roman" w:cs="Times New Roman" w:hint="eastAsia"/>
          <w:sz w:val="28"/>
          <w:szCs w:val="28"/>
          <w:highlight w:val="none"/>
          <w:lang w:val="en-US" w:eastAsia="zh-CN"/>
        </w:rPr>
        <w:t>或合同约定的服务期结束,实行先到原则，</w:t>
      </w:r>
      <w:r>
        <w:rPr>
          <w:rFonts w:ascii="仿宋_GB2312" w:eastAsia="仿宋_GB2312" w:hAnsi="Times New Roman" w:cs="Times New Roman" w:hint="eastAsia"/>
          <w:b/>
          <w:bCs/>
          <w:sz w:val="28"/>
          <w:szCs w:val="28"/>
          <w:highlight w:val="none"/>
          <w:lang w:val="en-US" w:eastAsia="zh-CN"/>
        </w:rPr>
        <w:t>（提供承诺函）投标人拒绝此条款，投标无效。</w:t>
      </w:r>
    </w:p>
    <w:p>
      <w:pPr>
        <w:numPr>
          <w:ilvl w:val="0"/>
          <w:numId w:val="5"/>
        </w:numPr>
        <w:snapToGrid w:val="0"/>
        <w:spacing w:line="560" w:lineRule="atLeast"/>
        <w:ind w:left="0" w:firstLine="0"/>
        <w:rPr>
          <w:rFonts w:ascii="仿宋_GB2312" w:eastAsia="仿宋_GB2312" w:hAnsi="Times New Roman" w:cs="Times New Roman" w:hint="eastAsia"/>
          <w:sz w:val="28"/>
          <w:szCs w:val="28"/>
          <w:lang w:val="en-US" w:eastAsia="zh-CN"/>
        </w:rPr>
      </w:pPr>
      <w:r>
        <w:rPr>
          <w:rFonts w:ascii="仿宋_GB2312" w:eastAsia="仿宋_GB2312" w:hAnsi="Times New Roman" w:cs="Times New Roman" w:hint="eastAsia"/>
          <w:sz w:val="28"/>
          <w:szCs w:val="28"/>
          <w:highlight w:val="none"/>
          <w:lang w:val="en-US" w:eastAsia="zh-CN"/>
        </w:rPr>
        <w:t>本</w:t>
      </w:r>
      <w:r>
        <w:rPr>
          <w:rFonts w:ascii="仿宋_GB2312" w:eastAsia="仿宋_GB2312" w:cs="Times New Roman" w:hint="eastAsia"/>
          <w:sz w:val="28"/>
          <w:szCs w:val="28"/>
          <w:highlight w:val="none"/>
          <w:lang w:val="en-US" w:eastAsia="zh-CN"/>
        </w:rPr>
        <w:t>项目</w:t>
      </w:r>
      <w:r>
        <w:rPr>
          <w:rFonts w:ascii="仿宋_GB2312" w:eastAsia="仿宋_GB2312" w:hAnsi="Times New Roman" w:cs="Times New Roman" w:hint="eastAsia"/>
          <w:sz w:val="28"/>
          <w:szCs w:val="28"/>
          <w:highlight w:val="none"/>
          <w:lang w:val="en-US" w:eastAsia="zh-CN"/>
        </w:rPr>
        <w:t>不因人工、费用、材料和设备等价格的波动而影响</w:t>
      </w:r>
      <w:r>
        <w:rPr>
          <w:rFonts w:ascii="仿宋_GB2312" w:eastAsia="仿宋_GB2312" w:cs="Times New Roman" w:hint="eastAsia"/>
          <w:sz w:val="28"/>
          <w:szCs w:val="28"/>
          <w:highlight w:val="none"/>
          <w:lang w:val="en-US" w:eastAsia="zh-CN"/>
        </w:rPr>
        <w:t>合同</w:t>
      </w:r>
      <w:r>
        <w:rPr>
          <w:rFonts w:ascii="仿宋_GB2312" w:eastAsia="仿宋_GB2312" w:hAnsi="Times New Roman" w:cs="Times New Roman" w:hint="eastAsia"/>
          <w:sz w:val="28"/>
          <w:szCs w:val="28"/>
          <w:highlight w:val="none"/>
          <w:lang w:val="en-US" w:eastAsia="zh-CN"/>
        </w:rPr>
        <w:t>价格。</w:t>
      </w:r>
      <w:r>
        <w:rPr>
          <w:rFonts w:ascii="仿宋_GB2312" w:eastAsia="仿宋_GB2312" w:cs="Times New Roman" w:hint="eastAsia"/>
          <w:b/>
          <w:bCs/>
          <w:sz w:val="28"/>
          <w:szCs w:val="28"/>
          <w:highlight w:val="none"/>
          <w:lang w:val="en-US" w:eastAsia="zh-CN"/>
        </w:rPr>
        <w:t>（提供承诺函）。</w:t>
      </w:r>
    </w:p>
    <w:p>
      <w:pPr>
        <w:numPr>
          <w:ilvl w:val="0"/>
          <w:numId w:val="5"/>
        </w:numPr>
        <w:snapToGrid w:val="0"/>
        <w:spacing w:line="560" w:lineRule="atLeast"/>
        <w:ind w:left="0" w:firstLine="0"/>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所提供的服务、人员、设备必须符合国家相关法律规定。</w:t>
      </w:r>
    </w:p>
    <w:p>
      <w:pPr>
        <w:numPr>
          <w:ilvl w:val="0"/>
          <w:numId w:val="5"/>
        </w:numPr>
        <w:snapToGrid w:val="0"/>
        <w:spacing w:line="560" w:lineRule="atLeast"/>
        <w:ind w:left="0" w:firstLine="0"/>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应配置《司法鉴定机构仪器设备配置标准》中各类鉴定项目对应得必备仪器，所使用的计量工具、机器设备需定期取得法定计量鉴定机构颁发的校准/检定证书。</w:t>
      </w:r>
    </w:p>
    <w:p>
      <w:pPr>
        <w:numPr>
          <w:ilvl w:val="0"/>
          <w:numId w:val="5"/>
        </w:numPr>
        <w:snapToGrid w:val="0"/>
        <w:spacing w:line="560" w:lineRule="atLeast"/>
        <w:ind w:left="0" w:firstLine="0"/>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根据项目需求提供详细服务管理方案，包括服务响应时间、服务机构设置情况、人员配备情况、应急方案。</w:t>
      </w:r>
    </w:p>
    <w:p>
      <w:pPr>
        <w:numPr>
          <w:ilvl w:val="0"/>
          <w:numId w:val="5"/>
        </w:numPr>
        <w:snapToGrid w:val="0"/>
        <w:spacing w:line="560" w:lineRule="atLeast"/>
        <w:ind w:left="0" w:firstLine="0"/>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需遵循报告时限要求，即 1 日内接收委托,2 日内完成检验，30 日内出具报告(若不能及时出具报告，拖延时间，拒绝接受委托，一次通报、两次扣除相应鉴定费用，三次</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有权单方解除此合同，</w:t>
      </w: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并承担合同总价款</w:t>
      </w:r>
      <w:r>
        <w:rPr>
          <w:rFonts w:ascii="仿宋_GB2312" w:eastAsia="仿宋_GB2312" w:hAnsi="Times New Roman" w:cs="Times New Roman" w:hint="eastAsia"/>
          <w:sz w:val="28"/>
          <w:szCs w:val="28"/>
          <w:u w:val="single"/>
          <w:lang w:val="en-US" w:eastAsia="zh-CN"/>
        </w:rPr>
        <w:t xml:space="preserve"> 5%</w:t>
      </w:r>
      <w:r>
        <w:rPr>
          <w:rFonts w:ascii="仿宋_GB2312" w:eastAsia="仿宋_GB2312" w:hAnsi="Times New Roman" w:cs="Times New Roman" w:hint="eastAsia"/>
          <w:sz w:val="28"/>
          <w:szCs w:val="28"/>
          <w:lang w:val="en-US" w:eastAsia="zh-CN"/>
        </w:rPr>
        <w:t>的违约金，该违约金在</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结算时扣除)。对于敏感案件或者死亡追刑的案件，会在委托书中注明，应无条件配合鉴定及时完成报告，应在办案单位委托方要求时限天数内快速准确出具报告，并且出具的鉴定意见必须公平、公正、明确</w:t>
      </w:r>
      <w:r>
        <w:rPr>
          <w:rFonts w:ascii="仿宋_GB2312" w:eastAsia="仿宋_GB2312" w:cs="Times New Roman" w:hint="eastAsia"/>
          <w:sz w:val="28"/>
          <w:szCs w:val="28"/>
          <w:lang w:val="en-US" w:eastAsia="zh-CN"/>
        </w:rPr>
        <w:t>。</w:t>
      </w:r>
    </w:p>
    <w:p>
      <w:pPr>
        <w:numPr>
          <w:ilvl w:val="0"/>
          <w:numId w:val="5"/>
        </w:numPr>
        <w:snapToGrid w:val="0"/>
        <w:spacing w:line="560" w:lineRule="atLeast"/>
        <w:ind w:left="0" w:firstLine="0"/>
        <w:rPr>
          <w:rFonts w:ascii="仿宋_GB2312" w:eastAsia="仿宋_GB2312" w:hAnsi="Times New Roman" w:cs="Times New Roman" w:hint="eastAsia"/>
          <w:sz w:val="28"/>
          <w:szCs w:val="28"/>
          <w:highlight w:val="none"/>
          <w:lang w:val="en-US" w:eastAsia="zh-CN"/>
        </w:rPr>
      </w:pPr>
      <w:r>
        <w:rPr>
          <w:rFonts w:ascii="仿宋_GB2312" w:eastAsia="仿宋_GB2312" w:cs="Times New Roman" w:hint="eastAsia"/>
          <w:sz w:val="28"/>
          <w:szCs w:val="28"/>
          <w:highlight w:val="none"/>
          <w:lang w:val="en-US" w:eastAsia="zh-CN"/>
        </w:rPr>
        <w:t>供应商中标后应提供满足项目要求的场地</w:t>
      </w:r>
      <w:r>
        <w:rPr>
          <w:rFonts w:ascii="仿宋_GB2312" w:eastAsia="仿宋_GB2312" w:hAnsi="Times New Roman" w:cs="Times New Roman" w:hint="eastAsia"/>
          <w:sz w:val="28"/>
          <w:szCs w:val="28"/>
          <w:highlight w:val="none"/>
          <w:lang w:val="en-US" w:eastAsia="zh-CN"/>
        </w:rPr>
        <w:t>并配备相应的设备设施(如现场提取设备、便携检测设备及必要的交通工具等) 及相关检测人员。实行 24 小时值班制度，必须指定专门负责人与</w:t>
      </w:r>
      <w:r>
        <w:rPr>
          <w:rFonts w:ascii="仿宋_GB2312" w:eastAsia="仿宋_GB2312" w:cs="Times New Roman" w:hint="eastAsia"/>
          <w:sz w:val="28"/>
          <w:szCs w:val="28"/>
          <w:highlight w:val="none"/>
          <w:lang w:val="en-US" w:eastAsia="zh-CN"/>
        </w:rPr>
        <w:t>采购人</w:t>
      </w:r>
      <w:r>
        <w:rPr>
          <w:rFonts w:ascii="仿宋_GB2312" w:eastAsia="仿宋_GB2312" w:hAnsi="Times New Roman" w:cs="Times New Roman" w:hint="eastAsia"/>
          <w:sz w:val="28"/>
          <w:szCs w:val="28"/>
          <w:highlight w:val="none"/>
          <w:lang w:val="en-US" w:eastAsia="zh-CN"/>
        </w:rPr>
        <w:t>联系。</w:t>
      </w:r>
      <w:r>
        <w:rPr>
          <w:rFonts w:ascii="仿宋_GB2312" w:eastAsia="仿宋_GB2312" w:cs="Times New Roman" w:hint="eastAsia"/>
          <w:b/>
          <w:bCs/>
          <w:sz w:val="28"/>
          <w:szCs w:val="28"/>
          <w:highlight w:val="none"/>
          <w:lang w:val="en-US" w:eastAsia="zh-CN"/>
        </w:rPr>
        <w:t>（提供承诺函）</w:t>
      </w:r>
    </w:p>
    <w:p>
      <w:pPr>
        <w:numPr>
          <w:ilvl w:val="0"/>
          <w:numId w:val="5"/>
        </w:numPr>
        <w:snapToGrid w:val="0"/>
        <w:spacing w:line="560" w:lineRule="atLeast"/>
        <w:ind w:left="0" w:firstLine="0"/>
        <w:rPr>
          <w:rFonts w:ascii="仿宋_GB2312" w:eastAsia="仿宋_GB2312" w:hAnsi="Times New Roman" w:cs="Times New Roman" w:hint="eastAsia"/>
          <w:sz w:val="28"/>
          <w:szCs w:val="28"/>
          <w:highlight w:val="none"/>
          <w:lang w:val="en-US" w:eastAsia="zh-CN"/>
        </w:rPr>
      </w:pPr>
      <w:r>
        <w:rPr>
          <w:rFonts w:ascii="仿宋_GB2312" w:eastAsia="仿宋_GB2312" w:cs="Times New Roman" w:hint="eastAsia"/>
          <w:sz w:val="28"/>
          <w:szCs w:val="28"/>
          <w:highlight w:val="none"/>
          <w:lang w:val="en-US" w:eastAsia="zh-CN"/>
        </w:rPr>
        <w:t>供应商</w:t>
      </w:r>
      <w:r>
        <w:rPr>
          <w:rFonts w:ascii="仿宋_GB2312" w:eastAsia="仿宋_GB2312" w:hAnsi="Times New Roman" w:cs="Times New Roman" w:hint="eastAsia"/>
          <w:sz w:val="28"/>
          <w:szCs w:val="28"/>
          <w:highlight w:val="none"/>
          <w:lang w:val="en-US" w:eastAsia="zh-CN"/>
        </w:rPr>
        <w:t>必须无条件接受</w:t>
      </w:r>
      <w:r>
        <w:rPr>
          <w:rFonts w:ascii="仿宋_GB2312" w:eastAsia="仿宋_GB2312" w:cs="Times New Roman" w:hint="eastAsia"/>
          <w:sz w:val="28"/>
          <w:szCs w:val="28"/>
          <w:highlight w:val="none"/>
          <w:lang w:val="en-US" w:eastAsia="zh-CN"/>
        </w:rPr>
        <w:t>采购人</w:t>
      </w:r>
      <w:r>
        <w:rPr>
          <w:rFonts w:ascii="仿宋_GB2312" w:eastAsia="仿宋_GB2312" w:hAnsi="Times New Roman" w:cs="Times New Roman" w:hint="eastAsia"/>
          <w:sz w:val="28"/>
          <w:szCs w:val="28"/>
          <w:highlight w:val="none"/>
          <w:lang w:val="en-US" w:eastAsia="zh-CN"/>
        </w:rPr>
        <w:t>相关技术人员的业务监督，同时承诺《公安机关鉴定规则》（公通字〔2017〕6 号）实施后，积极配合</w:t>
      </w:r>
      <w:r>
        <w:rPr>
          <w:rFonts w:ascii="仿宋_GB2312" w:eastAsia="仿宋_GB2312" w:cs="Times New Roman" w:hint="eastAsia"/>
          <w:sz w:val="28"/>
          <w:szCs w:val="28"/>
          <w:highlight w:val="none"/>
          <w:lang w:val="en-US" w:eastAsia="zh-CN"/>
        </w:rPr>
        <w:t>采购人</w:t>
      </w:r>
      <w:r>
        <w:rPr>
          <w:rFonts w:ascii="仿宋_GB2312" w:eastAsia="仿宋_GB2312" w:hAnsi="Times New Roman" w:cs="Times New Roman" w:hint="eastAsia"/>
          <w:sz w:val="28"/>
          <w:szCs w:val="28"/>
          <w:highlight w:val="none"/>
          <w:lang w:val="en-US" w:eastAsia="zh-CN"/>
        </w:rPr>
        <w:t>办理相关手续。</w:t>
      </w:r>
    </w:p>
    <w:p>
      <w:pPr>
        <w:numPr>
          <w:ilvl w:val="0"/>
          <w:numId w:val="5"/>
        </w:numPr>
        <w:snapToGrid w:val="0"/>
        <w:spacing w:line="560" w:lineRule="atLeast"/>
        <w:ind w:left="0" w:firstLine="0"/>
        <w:rPr>
          <w:rFonts w:ascii="仿宋_GB2312" w:eastAsia="仿宋_GB2312" w:hAnsi="Times New Roman" w:cs="Times New Roman" w:hint="eastAsia"/>
          <w:sz w:val="28"/>
          <w:szCs w:val="28"/>
          <w:lang w:val="en-US" w:eastAsia="zh-CN"/>
        </w:rPr>
      </w:pPr>
      <w:r>
        <w:rPr>
          <w:rFonts w:ascii="仿宋_GB2312" w:eastAsia="仿宋_GB2312" w:hAnsi="Times New Roman" w:cs="Times New Roman" w:hint="eastAsia"/>
          <w:sz w:val="28"/>
          <w:szCs w:val="28"/>
          <w:lang w:val="en-US" w:eastAsia="zh-CN"/>
        </w:rPr>
        <w:t>若发现</w:t>
      </w: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超过时限 3 次以上、不按照约定时间达到检验 3 次以上不接受</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监管等行为，</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有权单方解除合同;一旦发现</w:t>
      </w: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有主观原因导致错鉴一次、非主观原因错鉴 3 次，则</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有权解除合同，并退还该案鉴定费用。由此造成的一切后果由</w:t>
      </w: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负责，</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不承担任何责任。</w:t>
      </w:r>
    </w:p>
    <w:p>
      <w:pPr>
        <w:numPr>
          <w:ilvl w:val="0"/>
          <w:numId w:val="5"/>
        </w:numPr>
        <w:snapToGrid w:val="0"/>
        <w:spacing w:line="560" w:lineRule="atLeast"/>
        <w:ind w:left="0" w:firstLine="0"/>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所出具的检验鉴定意见书如被人民法院质证无效，造成案件无法办理而引起的后果由</w:t>
      </w: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承担，本合同终止，并退还已支付的鉴定费用。</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不承担任何责任。</w:t>
      </w:r>
    </w:p>
    <w:p>
      <w:pPr>
        <w:numPr>
          <w:ilvl w:val="0"/>
          <w:numId w:val="5"/>
        </w:numPr>
        <w:snapToGrid w:val="0"/>
        <w:spacing w:line="560" w:lineRule="atLeast"/>
        <w:ind w:left="0" w:firstLine="0"/>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必须对所涉及的公安工作秘密、业务需求、协议、系统设计、技术成果</w:t>
      </w:r>
      <w:r>
        <w:rPr>
          <w:rFonts w:ascii="仿宋_GB2312" w:eastAsia="仿宋_GB2312" w:cs="Times New Roman" w:hint="eastAsia"/>
          <w:sz w:val="28"/>
          <w:szCs w:val="28"/>
          <w:lang w:val="en-US" w:eastAsia="zh-CN"/>
        </w:rPr>
        <w:t>等以及</w:t>
      </w:r>
      <w:r>
        <w:rPr>
          <w:rFonts w:ascii="仿宋_GB2312" w:eastAsia="仿宋_GB2312" w:hint="eastAsia"/>
          <w:sz w:val="28"/>
          <w:szCs w:val="28"/>
        </w:rPr>
        <w:t>鉴定当中涉及公民信息,车辆信息，公安监控等涉及警务</w:t>
      </w:r>
      <w:r>
        <w:rPr>
          <w:rFonts w:ascii="仿宋_GB2312" w:eastAsia="仿宋_GB2312" w:hint="eastAsia"/>
          <w:sz w:val="28"/>
          <w:szCs w:val="28"/>
          <w:lang w:val="en-US" w:eastAsia="zh-CN"/>
        </w:rPr>
        <w:t>信息</w:t>
      </w:r>
      <w:r>
        <w:rPr>
          <w:rFonts w:ascii="仿宋_GB2312" w:eastAsia="仿宋_GB2312" w:hAnsi="Times New Roman" w:cs="Times New Roman" w:hint="eastAsia"/>
          <w:sz w:val="28"/>
          <w:szCs w:val="28"/>
          <w:lang w:val="en-US" w:eastAsia="zh-CN"/>
        </w:rPr>
        <w:t>等内容和相关事务保密。并严格遵守保密法规和</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的工作要求。</w:t>
      </w:r>
    </w:p>
    <w:p>
      <w:pPr>
        <w:numPr>
          <w:ilvl w:val="0"/>
          <w:numId w:val="5"/>
        </w:numPr>
        <w:snapToGrid w:val="0"/>
        <w:spacing w:line="560" w:lineRule="atLeast"/>
        <w:ind w:left="0" w:firstLine="0"/>
        <w:rPr>
          <w:rFonts w:ascii="仿宋_GB2312" w:eastAsia="仿宋_GB2312" w:hAnsi="Times New Roman" w:cs="Times New Roman" w:hint="eastAsia"/>
          <w:sz w:val="28"/>
          <w:szCs w:val="28"/>
          <w:lang w:val="en-US" w:eastAsia="zh-CN"/>
        </w:rPr>
      </w:pPr>
      <w:r>
        <w:rPr>
          <w:rFonts w:ascii="仿宋_GB2312" w:eastAsia="仿宋_GB2312" w:hAnsi="Times New Roman" w:cs="Times New Roman" w:hint="eastAsia"/>
          <w:sz w:val="28"/>
          <w:szCs w:val="28"/>
          <w:lang w:val="en-US" w:eastAsia="zh-CN"/>
        </w:rPr>
        <w:t>服务内容明细中鉴定项目为主要常见鉴定服务项目。若项目执行过程中发生属于业务范围的其他鉴定项目，其收费标准须按国家规定的收费标准收费，并报经</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同意。</w:t>
      </w:r>
    </w:p>
    <w:p>
      <w:pPr>
        <w:numPr>
          <w:ilvl w:val="0"/>
          <w:numId w:val="5"/>
        </w:numPr>
        <w:snapToGrid w:val="0"/>
        <w:spacing w:line="560" w:lineRule="atLeast"/>
        <w:ind w:left="0" w:firstLine="0"/>
        <w:rPr>
          <w:rFonts w:ascii="仿宋_GB2312" w:eastAsia="仿宋_GB2312" w:cs="Times New Roman" w:hint="eastAsia"/>
          <w:sz w:val="28"/>
          <w:szCs w:val="28"/>
          <w:lang w:val="en-US" w:eastAsia="zh-CN"/>
        </w:rPr>
      </w:pP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应给予</w:t>
      </w:r>
      <w:r>
        <w:rPr>
          <w:rFonts w:ascii="仿宋_GB2312" w:eastAsia="仿宋_GB2312" w:cs="Times New Roman" w:hint="eastAsia"/>
          <w:sz w:val="28"/>
          <w:szCs w:val="28"/>
          <w:lang w:val="en-US" w:eastAsia="zh-CN"/>
        </w:rPr>
        <w:t>供应商</w:t>
      </w:r>
      <w:r>
        <w:rPr>
          <w:rFonts w:ascii="仿宋_GB2312" w:eastAsia="仿宋_GB2312" w:hAnsi="Times New Roman" w:cs="Times New Roman" w:hint="eastAsia"/>
          <w:sz w:val="28"/>
          <w:szCs w:val="28"/>
          <w:lang w:val="en-US" w:eastAsia="zh-CN"/>
        </w:rPr>
        <w:t>必要的工作协助，规范委托程序，共同做好痕迹</w:t>
      </w:r>
      <w:r>
        <w:rPr>
          <w:rFonts w:ascii="仿宋_GB2312" w:eastAsia="仿宋_GB2312" w:cs="Times New Roman" w:hint="eastAsia"/>
          <w:sz w:val="28"/>
          <w:szCs w:val="28"/>
          <w:lang w:val="en-US" w:eastAsia="zh-CN"/>
        </w:rPr>
        <w:t>类检验鉴定工作。</w:t>
      </w:r>
    </w:p>
    <w:p>
      <w:pPr>
        <w:numPr>
          <w:ilvl w:val="0"/>
          <w:numId w:val="5"/>
        </w:numPr>
        <w:snapToGrid w:val="0"/>
        <w:spacing w:line="560" w:lineRule="atLeast"/>
        <w:ind w:left="0" w:firstLine="0"/>
        <w:rPr>
          <w:rFonts w:ascii="仿宋_GB2312" w:eastAsia="仿宋_GB2312" w:hAnsi="Times New Roman" w:cs="Times New Roman" w:hint="eastAsia"/>
          <w:b/>
          <w:bCs/>
          <w:sz w:val="28"/>
          <w:szCs w:val="28"/>
          <w:lang w:val="en-US" w:eastAsia="zh-CN"/>
        </w:rPr>
      </w:pPr>
      <w:r>
        <w:rPr>
          <w:rFonts w:ascii="仿宋_GB2312" w:eastAsia="仿宋_GB2312" w:cs="Times New Roman" w:hint="eastAsia"/>
          <w:b/>
          <w:bCs/>
          <w:sz w:val="28"/>
          <w:szCs w:val="28"/>
          <w:lang w:val="en-US" w:eastAsia="zh-CN"/>
        </w:rPr>
        <w:t>报价要求：供应商应按“技术参数”中收费项目单价进行报价、且不得超出规定的“单项最高限价”，合计总价后填写“开标一览表”。（此为废标项）。</w:t>
      </w:r>
    </w:p>
    <w:p>
      <w:pPr>
        <w:tabs>
          <w:tab w:val="left" w:pos="9180"/>
        </w:tabs>
        <w:snapToGrid w:val="0"/>
        <w:spacing w:line="360" w:lineRule="auto"/>
        <w:jc w:val="center"/>
        <w:rPr>
          <w:rFonts w:ascii="仿宋_GB2312" w:eastAsia="仿宋_GB2312" w:hAnsi="Times New Roman" w:cs="Times New Roman" w:hint="eastAsia"/>
          <w:b/>
          <w:bCs/>
          <w:sz w:val="28"/>
          <w:szCs w:val="28"/>
        </w:rPr>
      </w:pPr>
      <w:r>
        <w:rPr>
          <w:rFonts w:hint="eastAsia"/>
          <w:b/>
          <w:bCs/>
          <w:sz w:val="24"/>
        </w:rPr>
        <w:t>注</w:t>
      </w:r>
      <w:r>
        <w:rPr>
          <w:rFonts w:ascii="仿宋_GB2312" w:eastAsia="仿宋_GB2312" w:hint="eastAsia"/>
          <w:sz w:val="28"/>
          <w:szCs w:val="28"/>
        </w:rPr>
        <w:t>：</w:t>
      </w:r>
      <w:r>
        <w:rPr>
          <w:rFonts w:ascii="仿宋_GB2312" w:eastAsia="仿宋_GB2312" w:hint="eastAsia"/>
          <w:b/>
          <w:bCs/>
          <w:sz w:val="28"/>
          <w:szCs w:val="28"/>
          <w:lang w:val="en-US" w:eastAsia="zh-CN"/>
        </w:rPr>
        <w:t>本</w:t>
      </w:r>
      <w:r>
        <w:rPr>
          <w:rFonts w:ascii="仿宋_GB2312" w:eastAsia="仿宋_GB2312" w:hAnsi="Times New Roman" w:cs="Times New Roman" w:hint="eastAsia"/>
          <w:b/>
          <w:bCs/>
          <w:sz w:val="28"/>
          <w:szCs w:val="28"/>
          <w:lang w:val="en-US" w:eastAsia="zh-CN"/>
        </w:rPr>
        <w:t>项目</w:t>
      </w:r>
      <w:r>
        <w:rPr>
          <w:rFonts w:ascii="仿宋_GB2312" w:eastAsia="仿宋_GB2312" w:hAnsi="Times New Roman" w:cs="Times New Roman" w:hint="eastAsia"/>
          <w:b/>
          <w:bCs/>
          <w:sz w:val="28"/>
          <w:szCs w:val="28"/>
        </w:rPr>
        <w:t>中小企业划分标准所属行业：</w:t>
      </w:r>
      <w:r>
        <w:rPr>
          <w:rFonts w:ascii="仿宋_GB2312" w:eastAsia="仿宋_GB2312" w:hAnsi="Times New Roman" w:cs="Times New Roman" w:hint="eastAsia"/>
          <w:b/>
          <w:bCs/>
          <w:sz w:val="28"/>
          <w:szCs w:val="28"/>
          <w:u w:val="single"/>
          <w:lang w:val="en-US" w:eastAsia="zh-CN"/>
        </w:rPr>
        <w:t>其他未列明行业</w:t>
      </w:r>
      <w:r>
        <w:rPr>
          <w:rFonts w:ascii="仿宋_GB2312" w:eastAsia="仿宋_GB2312" w:hAnsi="Times New Roman" w:cs="Times New Roman" w:hint="eastAsia"/>
          <w:b/>
          <w:bCs/>
          <w:sz w:val="28"/>
          <w:szCs w:val="28"/>
        </w:rPr>
        <w:t xml:space="preserve"> ，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w:t>
      </w:r>
    </w:p>
    <w:p>
      <w:pPr>
        <w:tabs>
          <w:tab w:val="left" w:pos="9180"/>
        </w:tabs>
        <w:snapToGrid w:val="0"/>
        <w:spacing w:line="360" w:lineRule="auto"/>
        <w:jc w:val="both"/>
        <w:rPr>
          <w:rFonts w:ascii="仿宋_GB2312" w:eastAsia="仿宋_GB2312" w:hAnsi="Times New Roman" w:cs="Times New Roman" w:hint="eastAsia"/>
          <w:b/>
          <w:bCs/>
          <w:sz w:val="28"/>
          <w:szCs w:val="28"/>
        </w:rPr>
      </w:pPr>
      <w:r>
        <w:rPr>
          <w:rFonts w:ascii="仿宋_GB2312" w:eastAsia="仿宋_GB2312" w:hAnsi="Times New Roman" w:cs="Times New Roman" w:hint="eastAsia"/>
          <w:b/>
          <w:bCs/>
          <w:sz w:val="28"/>
          <w:szCs w:val="28"/>
        </w:rPr>
        <w:t>联企业[2011]300号）规定的划分标准为依据。</w:t>
      </w:r>
    </w:p>
    <w:p>
      <w:pPr>
        <w:tabs>
          <w:tab w:val="left" w:pos="9180"/>
        </w:tabs>
        <w:snapToGrid w:val="0"/>
        <w:spacing w:before="142" w:beforeLines="50" w:after="142" w:afterLines="50" w:line="700" w:lineRule="atLeast"/>
        <w:jc w:val="center"/>
        <w:rPr>
          <w:rFonts w:ascii="宋体" w:hAnsi="宋体"/>
          <w:b/>
          <w:sz w:val="36"/>
        </w:rPr>
      </w:pPr>
      <w:r>
        <w:rPr>
          <w:rFonts w:ascii="宋体" w:hAnsi="宋体" w:hint="eastAsia"/>
          <w:b/>
          <w:sz w:val="36"/>
        </w:rPr>
        <w:t>二、商务要求</w:t>
      </w:r>
    </w:p>
    <w:p>
      <w:pPr>
        <w:numPr>
          <w:ilvl w:val="0"/>
          <w:numId w:val="5"/>
        </w:numPr>
        <w:snapToGrid w:val="0"/>
        <w:spacing w:line="560" w:lineRule="atLeast"/>
        <w:rPr>
          <w:rFonts w:ascii="仿宋_GB2312" w:eastAsia="仿宋_GB2312" w:hint="eastAsia"/>
          <w:sz w:val="28"/>
          <w:szCs w:val="28"/>
        </w:rPr>
      </w:pPr>
      <w:r>
        <w:rPr>
          <w:rFonts w:ascii="仿宋_GB2312" w:eastAsia="仿宋_GB2312" w:hint="eastAsia"/>
          <w:sz w:val="28"/>
          <w:szCs w:val="28"/>
          <w:lang w:eastAsia="zh-CN"/>
        </w:rPr>
        <w:t>合同履行期限</w:t>
      </w:r>
      <w:r>
        <w:rPr>
          <w:rFonts w:ascii="仿宋_GB2312" w:eastAsia="仿宋_GB2312" w:hint="eastAsia"/>
          <w:sz w:val="28"/>
          <w:szCs w:val="28"/>
        </w:rPr>
        <w:t>：合同签订后</w:t>
      </w:r>
      <w:r>
        <w:rPr>
          <w:rFonts w:ascii="仿宋_GB2312" w:eastAsia="仿宋_GB2312" w:hint="eastAsia"/>
          <w:sz w:val="28"/>
          <w:szCs w:val="28"/>
          <w:lang w:eastAsia="zh-CN"/>
        </w:rPr>
        <w:t>，</w:t>
      </w:r>
      <w:r>
        <w:rPr>
          <w:rFonts w:ascii="仿宋_GB2312" w:eastAsia="仿宋_GB2312" w:hint="eastAsia"/>
          <w:sz w:val="28"/>
          <w:szCs w:val="28"/>
          <w:lang w:val="en-US" w:eastAsia="zh-CN"/>
        </w:rPr>
        <w:t>以金额累计达到合同中标</w:t>
      </w:r>
      <w:r>
        <w:rPr>
          <w:rFonts w:ascii="仿宋_GB2312" w:eastAsia="仿宋_GB2312" w:hAnsi="Times New Roman" w:cs="Times New Roman" w:hint="eastAsia"/>
          <w:b w:val="0"/>
          <w:bCs w:val="0"/>
          <w:sz w:val="28"/>
          <w:szCs w:val="28"/>
          <w:highlight w:val="none"/>
          <w:lang w:val="en-US" w:eastAsia="zh-CN"/>
        </w:rPr>
        <w:t>总金额</w:t>
      </w:r>
      <w:r>
        <w:rPr>
          <w:rFonts w:ascii="仿宋_GB2312" w:eastAsia="仿宋_GB2312" w:hAnsi="Times New Roman" w:cs="Times New Roman" w:hint="eastAsia"/>
          <w:sz w:val="28"/>
          <w:szCs w:val="28"/>
          <w:highlight w:val="none"/>
          <w:lang w:val="en-US" w:eastAsia="zh-CN"/>
        </w:rPr>
        <w:t>或合同约定的服务期结束,实行先到原则</w:t>
      </w:r>
      <w:r>
        <w:rPr>
          <w:rFonts w:ascii="仿宋_GB2312" w:eastAsia="仿宋_GB2312" w:cs="Times New Roman" w:hint="eastAsia"/>
          <w:sz w:val="28"/>
          <w:szCs w:val="28"/>
          <w:highlight w:val="none"/>
          <w:lang w:val="en-US" w:eastAsia="zh-CN"/>
        </w:rPr>
        <w:t>。</w:t>
      </w:r>
    </w:p>
    <w:p>
      <w:pPr>
        <w:numPr>
          <w:ilvl w:val="0"/>
          <w:numId w:val="5"/>
        </w:numPr>
        <w:snapToGrid w:val="0"/>
        <w:spacing w:line="560" w:lineRule="atLeast"/>
        <w:rPr>
          <w:rFonts w:ascii="仿宋_GB2312" w:eastAsia="仿宋_GB2312" w:hint="eastAsia"/>
          <w:sz w:val="28"/>
          <w:szCs w:val="28"/>
          <w:highlight w:val="none"/>
        </w:rPr>
      </w:pPr>
      <w:r>
        <w:rPr>
          <w:rFonts w:ascii="仿宋_GB2312" w:eastAsia="仿宋_GB2312" w:hint="eastAsia"/>
          <w:sz w:val="28"/>
          <w:szCs w:val="28"/>
          <w:lang w:val="en-US" w:eastAsia="zh-CN"/>
        </w:rPr>
        <w:t>服务</w:t>
      </w:r>
      <w:r>
        <w:rPr>
          <w:rFonts w:ascii="仿宋_GB2312" w:eastAsia="仿宋_GB2312" w:hint="eastAsia"/>
          <w:sz w:val="28"/>
          <w:szCs w:val="28"/>
        </w:rPr>
        <w:t>地点：</w:t>
      </w:r>
      <w:r>
        <w:rPr>
          <w:rFonts w:ascii="仿宋_GB2312" w:eastAsia="仿宋_GB2312" w:hint="eastAsia"/>
          <w:sz w:val="28"/>
          <w:szCs w:val="28"/>
          <w:lang w:val="en-US" w:eastAsia="zh-CN"/>
        </w:rPr>
        <w:t>采购人指定地点。</w:t>
      </w:r>
    </w:p>
    <w:p>
      <w:pPr>
        <w:numPr>
          <w:ilvl w:val="0"/>
          <w:numId w:val="5"/>
        </w:numPr>
        <w:snapToGrid w:val="0"/>
        <w:spacing w:line="560" w:lineRule="atLeast"/>
        <w:rPr>
          <w:rFonts w:ascii="仿宋_GB2312" w:eastAsia="仿宋_GB2312" w:hint="eastAsia"/>
          <w:sz w:val="28"/>
          <w:szCs w:val="28"/>
          <w:highlight w:val="none"/>
        </w:rPr>
      </w:pPr>
      <w:r>
        <w:rPr>
          <w:rFonts w:ascii="仿宋_GB2312" w:eastAsia="仿宋_GB2312" w:hint="eastAsia"/>
          <w:sz w:val="28"/>
          <w:szCs w:val="28"/>
        </w:rPr>
        <w:t>付款方式</w:t>
      </w:r>
      <w:r>
        <w:rPr>
          <w:rFonts w:ascii="仿宋_GB2312" w:eastAsia="仿宋_GB2312" w:hint="eastAsia"/>
          <w:sz w:val="28"/>
          <w:szCs w:val="28"/>
          <w:highlight w:val="none"/>
        </w:rPr>
        <w:t>：</w:t>
      </w:r>
      <w:bookmarkStart w:id="3" w:name="OLE_LINK11"/>
      <w:r>
        <w:rPr>
          <w:rFonts w:ascii="仿宋_GB2312" w:eastAsia="仿宋_GB2312" w:hint="eastAsia"/>
          <w:sz w:val="28"/>
          <w:szCs w:val="28"/>
          <w:highlight w:val="none"/>
        </w:rPr>
        <w:t>为优化政府采购营商环境，根据安财购﹝2019﹞8号文件落实政府采购预付款的规定，采购人可在政府采购合同履约前向成交供应商预付5%的合同资金，成交供应商应向采购人提交预付款保函，未提供保函的，视同其放弃项目预付款的支付。项目完成后，采购人需持从“安阳市政府采购网”登录系统下载本项目带水印的《安阳市市直政府采购资金申请表》和《安阳市市直政府采购申报表》，以及《政府采购验收报告》和发票等，作为付款依据，报安阳市会计核算中心审核确认后，按季度分期付款，具体以合同签订为准。</w:t>
      </w:r>
      <w:bookmarkEnd w:id="3"/>
    </w:p>
    <w:p>
      <w:pPr>
        <w:numPr>
          <w:ilvl w:val="0"/>
          <w:numId w:val="0"/>
        </w:numPr>
        <w:tabs>
          <w:tab w:val="left" w:pos="9180"/>
        </w:tabs>
        <w:snapToGrid w:val="0"/>
        <w:spacing w:before="142" w:beforeLines="50" w:after="142" w:afterLines="50" w:line="700" w:lineRule="atLeast"/>
        <w:jc w:val="center"/>
        <w:rPr>
          <w:rFonts w:ascii="宋体" w:hAnsi="宋体"/>
          <w:b/>
          <w:sz w:val="36"/>
        </w:rPr>
      </w:pPr>
      <w:r>
        <w:rPr>
          <w:rFonts w:ascii="宋体" w:hAnsi="宋体" w:cs="Times New Roman" w:hint="eastAsia"/>
          <w:b/>
          <w:kern w:val="2"/>
          <w:sz w:val="36"/>
          <w:lang w:val="en-US" w:eastAsia="zh-CN" w:bidi="ar-SA"/>
        </w:rPr>
        <w:t>三</w:t>
      </w:r>
      <w:r>
        <w:rPr>
          <w:rFonts w:ascii="宋体" w:eastAsia="宋体" w:hAnsi="宋体" w:cs="Times New Roman" w:hint="eastAsia"/>
          <w:b/>
          <w:kern w:val="2"/>
          <w:sz w:val="36"/>
          <w:lang w:val="en-US" w:eastAsia="zh-CN" w:bidi="ar-SA"/>
        </w:rPr>
        <w:t>、</w:t>
      </w:r>
      <w:r>
        <w:rPr>
          <w:rFonts w:ascii="宋体" w:hAnsi="宋体" w:hint="eastAsia"/>
          <w:b/>
          <w:sz w:val="36"/>
          <w:lang w:val="en-US" w:eastAsia="zh-CN"/>
        </w:rPr>
        <w:t>其他</w:t>
      </w:r>
      <w:r>
        <w:rPr>
          <w:rFonts w:ascii="宋体" w:hAnsi="宋体" w:hint="eastAsia"/>
          <w:b/>
          <w:sz w:val="36"/>
        </w:rPr>
        <w:t>要求</w:t>
      </w:r>
    </w:p>
    <w:p>
      <w:pPr>
        <w:numPr>
          <w:ilvl w:val="0"/>
          <w:numId w:val="0"/>
        </w:numPr>
        <w:snapToGrid w:val="0"/>
        <w:spacing w:line="560" w:lineRule="atLeast"/>
        <w:ind w:leftChars="0"/>
        <w:rPr>
          <w:rFonts w:ascii="仿宋_GB2312" w:eastAsia="仿宋_GB2312"/>
          <w:sz w:val="28"/>
          <w:szCs w:val="28"/>
        </w:rPr>
      </w:pPr>
      <w:r>
        <w:rPr>
          <w:rFonts w:ascii="仿宋_GB2312" w:eastAsia="仿宋_GB2312" w:hint="eastAsia"/>
          <w:sz w:val="28"/>
          <w:szCs w:val="28"/>
          <w:lang w:val="en-US" w:eastAsia="zh-CN"/>
        </w:rPr>
        <w:t>18.</w:t>
      </w:r>
      <w:r>
        <w:rPr>
          <w:rFonts w:ascii="仿宋_GB2312" w:eastAsia="仿宋_GB2312" w:hint="eastAsia"/>
          <w:sz w:val="28"/>
          <w:szCs w:val="28"/>
        </w:rPr>
        <w:t>供应商应本着服务客户、为客户着想的宗旨，来完善</w:t>
      </w:r>
      <w:r>
        <w:rPr>
          <w:rFonts w:ascii="仿宋_GB2312" w:eastAsia="仿宋_GB2312" w:hint="eastAsia"/>
          <w:sz w:val="28"/>
          <w:szCs w:val="28"/>
          <w:lang w:val="en-US" w:eastAsia="zh-CN"/>
        </w:rPr>
        <w:t>服务及</w:t>
      </w:r>
      <w:r>
        <w:rPr>
          <w:rFonts w:ascii="仿宋_GB2312" w:eastAsia="仿宋_GB2312" w:hint="eastAsia"/>
          <w:sz w:val="28"/>
          <w:szCs w:val="28"/>
        </w:rPr>
        <w:t>产品技术要求未尽事宜，不得以采购文件未列明事项为由，来降低所</w:t>
      </w:r>
      <w:r>
        <w:rPr>
          <w:rFonts w:ascii="仿宋_GB2312" w:eastAsia="仿宋_GB2312" w:hint="eastAsia"/>
          <w:sz w:val="28"/>
          <w:szCs w:val="28"/>
          <w:lang w:val="en-US" w:eastAsia="zh-CN"/>
        </w:rPr>
        <w:t>提</w:t>
      </w:r>
      <w:r>
        <w:rPr>
          <w:rFonts w:ascii="仿宋_GB2312" w:eastAsia="仿宋_GB2312" w:hint="eastAsia"/>
          <w:sz w:val="28"/>
          <w:szCs w:val="28"/>
        </w:rPr>
        <w:t>供</w:t>
      </w:r>
      <w:r>
        <w:rPr>
          <w:rFonts w:ascii="仿宋_GB2312" w:eastAsia="仿宋_GB2312" w:hint="eastAsia"/>
          <w:sz w:val="28"/>
          <w:szCs w:val="28"/>
          <w:lang w:val="en-US" w:eastAsia="zh-CN"/>
        </w:rPr>
        <w:t>服务</w:t>
      </w:r>
      <w:r>
        <w:rPr>
          <w:rFonts w:ascii="仿宋_GB2312" w:eastAsia="仿宋_GB2312" w:hint="eastAsia"/>
          <w:sz w:val="28"/>
          <w:szCs w:val="28"/>
        </w:rPr>
        <w:t>的质量。</w:t>
      </w:r>
    </w:p>
    <w:p>
      <w:pPr>
        <w:numPr>
          <w:ilvl w:val="0"/>
          <w:numId w:val="0"/>
        </w:numPr>
        <w:snapToGrid w:val="0"/>
        <w:spacing w:line="560" w:lineRule="atLeast"/>
        <w:ind w:leftChars="0"/>
        <w:rPr>
          <w:rFonts w:ascii="仿宋_GB2312" w:eastAsia="仿宋_GB2312"/>
          <w:sz w:val="28"/>
          <w:szCs w:val="28"/>
        </w:rPr>
      </w:pPr>
      <w:r>
        <w:rPr>
          <w:rFonts w:ascii="仿宋_GB2312" w:eastAsia="仿宋_GB2312" w:hint="eastAsia"/>
          <w:sz w:val="28"/>
          <w:szCs w:val="28"/>
          <w:lang w:val="en-US" w:eastAsia="zh-CN"/>
        </w:rPr>
        <w:t>19.</w:t>
      </w:r>
      <w:r>
        <w:rPr>
          <w:rFonts w:ascii="仿宋_GB2312" w:eastAsia="仿宋_GB2312" w:hint="eastAsia"/>
          <w:sz w:val="28"/>
          <w:szCs w:val="28"/>
        </w:rPr>
        <w:t>采购文件未载明的相关事项必须遵守相关法律法规及规定。</w:t>
      </w:r>
    </w:p>
    <w:p>
      <w:pPr>
        <w:numPr>
          <w:ilvl w:val="0"/>
          <w:numId w:val="0"/>
        </w:numPr>
        <w:snapToGrid w:val="0"/>
        <w:spacing w:line="560" w:lineRule="atLeast"/>
        <w:ind w:leftChars="0"/>
        <w:rPr>
          <w:rFonts w:ascii="仿宋_GB2312" w:eastAsia="仿宋_GB2312"/>
          <w:sz w:val="28"/>
          <w:szCs w:val="28"/>
        </w:rPr>
      </w:pPr>
      <w:bookmarkStart w:id="4" w:name="_Toc51833324"/>
      <w:r>
        <w:rPr>
          <w:rFonts w:ascii="仿宋_GB2312" w:eastAsia="仿宋_GB2312" w:hint="eastAsia"/>
          <w:sz w:val="28"/>
          <w:szCs w:val="28"/>
          <w:lang w:val="en-US" w:eastAsia="zh-CN"/>
        </w:rPr>
        <w:t>20.</w:t>
      </w:r>
      <w:r>
        <w:rPr>
          <w:rFonts w:ascii="仿宋_GB2312" w:eastAsia="仿宋_GB2312" w:hint="eastAsia"/>
          <w:sz w:val="28"/>
          <w:szCs w:val="28"/>
        </w:rPr>
        <w:t>政府采购促进中小企业发展扶持政策，在政府采购活动中，供应商提供的货物、工程或者服务符合下列情形的， 享受《政府采购促进中小企业发展管理办法》规定的中小企业扶持政策：</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20.1</w:t>
      </w:r>
      <w:r>
        <w:rPr>
          <w:rFonts w:ascii="仿宋_GB2312" w:eastAsia="仿宋_GB2312" w:hint="eastAsia"/>
          <w:sz w:val="28"/>
          <w:szCs w:val="28"/>
        </w:rPr>
        <w:t>在货物采购项目中，货物由中小企业制造，即货物由中小企业生产且使用该中小企业商号或者注册商标；</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20.2</w:t>
      </w:r>
      <w:r>
        <w:rPr>
          <w:rFonts w:ascii="仿宋_GB2312" w:eastAsia="仿宋_GB2312" w:hint="eastAsia"/>
          <w:sz w:val="28"/>
          <w:szCs w:val="28"/>
        </w:rPr>
        <w:t>在工程采购项目中，工程由中小企业承建，即工程施工单位为中小企业；</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20.3</w:t>
      </w:r>
      <w:r>
        <w:rPr>
          <w:rFonts w:ascii="仿宋_GB2312" w:eastAsia="仿宋_GB2312" w:hint="eastAsia"/>
          <w:sz w:val="28"/>
          <w:szCs w:val="28"/>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20.4</w:t>
      </w:r>
      <w:r>
        <w:rPr>
          <w:rFonts w:ascii="仿宋_GB2312" w:eastAsia="仿宋_GB2312" w:hint="eastAsia"/>
          <w:sz w:val="28"/>
          <w:szCs w:val="28"/>
        </w:rPr>
        <w:t>符合中小企业划分标准的个体工商户，在政府采购活动中视同中小企业。</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20.5</w:t>
      </w:r>
      <w:r>
        <w:rPr>
          <w:rFonts w:ascii="仿宋_GB2312" w:eastAsia="仿宋_GB2312" w:hint="eastAsia"/>
          <w:sz w:val="28"/>
          <w:szCs w:val="28"/>
        </w:rPr>
        <w:t>监狱企业、符合法定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 号规定的《残疾人福利性单位声明函》，残疾人福利性单位属于小型、微型企业的，不重复享受政策。</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20.5.1</w:t>
      </w:r>
      <w:r>
        <w:rPr>
          <w:rFonts w:ascii="仿宋_GB2312" w:eastAsia="仿宋_GB2312" w:hint="eastAsia"/>
          <w:sz w:val="28"/>
          <w:szCs w:val="28"/>
        </w:rPr>
        <w:t>享受政府采购支持政策的残疾人福利性单位应当同时满足以下条件：</w:t>
      </w:r>
    </w:p>
    <w:p>
      <w:pPr>
        <w:snapToGrid w:val="0"/>
        <w:spacing w:line="560" w:lineRule="atLeast"/>
        <w:rPr>
          <w:rFonts w:ascii="仿宋_GB2312" w:eastAsia="仿宋_GB2312"/>
          <w:sz w:val="28"/>
          <w:szCs w:val="28"/>
        </w:rPr>
      </w:pPr>
      <w:r>
        <w:rPr>
          <w:rFonts w:ascii="仿宋_GB2312" w:eastAsia="仿宋_GB2312" w:hint="eastAsia"/>
          <w:sz w:val="28"/>
          <w:szCs w:val="28"/>
        </w:rPr>
        <w:t>（1）安置的残疾人占本单位在职职工人数的比例不低于 25%（含 25%），并且安置的残疾人人数不少于 10 人（含 10 人）；</w:t>
      </w:r>
    </w:p>
    <w:p>
      <w:pPr>
        <w:snapToGrid w:val="0"/>
        <w:spacing w:line="560" w:lineRule="atLeast"/>
        <w:rPr>
          <w:rFonts w:ascii="仿宋_GB2312" w:eastAsia="仿宋_GB2312"/>
          <w:sz w:val="28"/>
          <w:szCs w:val="28"/>
        </w:rPr>
      </w:pPr>
      <w:r>
        <w:rPr>
          <w:rFonts w:ascii="仿宋_GB2312" w:eastAsia="仿宋_GB2312" w:hint="eastAsia"/>
          <w:sz w:val="28"/>
          <w:szCs w:val="28"/>
        </w:rPr>
        <w:t>（2）依法与安置的每位残疾人签订了一年以上（含一年）的劳动合同或服务协议</w:t>
      </w:r>
    </w:p>
    <w:p>
      <w:pPr>
        <w:snapToGrid w:val="0"/>
        <w:spacing w:line="560" w:lineRule="atLeast"/>
        <w:rPr>
          <w:rFonts w:ascii="仿宋_GB2312" w:eastAsia="仿宋_GB2312"/>
          <w:sz w:val="28"/>
          <w:szCs w:val="28"/>
        </w:rPr>
      </w:pPr>
      <w:r>
        <w:rPr>
          <w:rFonts w:ascii="仿宋_GB2312" w:eastAsia="仿宋_GB2312" w:hint="eastAsia"/>
          <w:sz w:val="28"/>
          <w:szCs w:val="28"/>
        </w:rPr>
        <w:t>（3）为安置的每位残疾人按月足额缴纳了基本养老保险、基本医疗保险、失业保险、工伤保险和生育保险等社会保险费；</w:t>
      </w:r>
    </w:p>
    <w:p>
      <w:pPr>
        <w:snapToGrid w:val="0"/>
        <w:spacing w:line="560" w:lineRule="atLeast"/>
        <w:rPr>
          <w:rFonts w:ascii="仿宋_GB2312" w:eastAsia="仿宋_GB2312"/>
          <w:sz w:val="28"/>
          <w:szCs w:val="28"/>
        </w:rPr>
      </w:pPr>
      <w:r>
        <w:rPr>
          <w:rFonts w:ascii="仿宋_GB2312" w:eastAsia="仿宋_GB2312" w:hint="eastAsia"/>
          <w:sz w:val="28"/>
          <w:szCs w:val="28"/>
        </w:rPr>
        <w:t>（4）通过银行等金融机构向安置的每位残疾人，按月支付了不低于单位所在区县适用的经省级人民政府批准的月最低工资标准的工资；</w:t>
      </w:r>
    </w:p>
    <w:p>
      <w:pPr>
        <w:snapToGrid w:val="0"/>
        <w:spacing w:line="560" w:lineRule="atLeast"/>
        <w:rPr>
          <w:rFonts w:ascii="仿宋_GB2312" w:eastAsia="仿宋_GB2312"/>
          <w:sz w:val="28"/>
          <w:szCs w:val="28"/>
        </w:rPr>
      </w:pPr>
      <w:r>
        <w:rPr>
          <w:rFonts w:ascii="仿宋_GB2312" w:eastAsia="仿宋_GB2312" w:hint="eastAsia"/>
          <w:sz w:val="28"/>
          <w:szCs w:val="28"/>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20.6</w:t>
      </w:r>
      <w:r>
        <w:rPr>
          <w:rFonts w:ascii="仿宋_GB2312" w:eastAsia="仿宋_GB2312" w:hint="eastAsia"/>
          <w:sz w:val="28"/>
          <w:szCs w:val="28"/>
        </w:rPr>
        <w:t>参加本次政府招标项目的中小企业应按附件格式提供《中小企业声明函》。如招标文件接受以联合体形式参加投标的，联合体各方均应按附件格式提供《中小企业声明函》。供应商按照财库〔2020〕46 号规定及招标文件要求提供声明函内容不实的，属于提供虚假材料谋取中标、成交，依照《中华人民共和国政府采购法》等国家有关规定追究相应责任。</w:t>
      </w:r>
    </w:p>
    <w:p>
      <w:pPr>
        <w:snapToGrid w:val="0"/>
        <w:spacing w:line="560" w:lineRule="atLeast"/>
        <w:rPr>
          <w:rFonts w:ascii="仿宋_GB2312" w:eastAsia="仿宋_GB2312"/>
          <w:b/>
          <w:bCs/>
          <w:sz w:val="28"/>
          <w:szCs w:val="28"/>
        </w:rPr>
      </w:pPr>
      <w:r>
        <w:rPr>
          <w:rFonts w:ascii="仿宋_GB2312" w:eastAsia="仿宋_GB2312" w:hint="eastAsia"/>
          <w:b/>
          <w:bCs/>
          <w:sz w:val="28"/>
          <w:szCs w:val="28"/>
          <w:lang w:val="en-US" w:eastAsia="zh-CN"/>
        </w:rPr>
        <w:t>20.7</w:t>
      </w:r>
      <w:r>
        <w:rPr>
          <w:rFonts w:ascii="仿宋_GB2312" w:eastAsia="仿宋_GB2312" w:hint="eastAsia"/>
          <w:b/>
          <w:bCs/>
          <w:sz w:val="28"/>
          <w:szCs w:val="28"/>
        </w:rPr>
        <w:t>本次政府招标项目面向中小企业，面向中小企业的采购项目无价格扣除。投标人无需在“投标文件编制系统”分项报价表中选择“是否享受价格折扣、折扣率（%）”。</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20.8</w:t>
      </w:r>
      <w:r>
        <w:rPr>
          <w:rFonts w:ascii="仿宋_GB2312" w:eastAsia="仿宋_GB2312" w:hint="eastAsia"/>
          <w:sz w:val="28"/>
          <w:szCs w:val="28"/>
        </w:rPr>
        <w:t>根据财政部、工业和信息化部有关负责人就印发《政府采购促进中小企业发展管理办法》答记者问，为方便广大中小企业、政府部门和社会公众识别企业规模类型，工业和信息化部组织开发了中小企业规模类型自测小程序，并于 2020 年 2 月 27 日上线运行，在国务院客户端和工业和信息化部网站上均有链接，广大中小企业和各类社会机构填写企业所属的行业和指标数据自动生成企业规模类型测试结果。</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20.9</w:t>
      </w:r>
      <w:r>
        <w:rPr>
          <w:rFonts w:ascii="仿宋_GB2312" w:eastAsia="仿宋_GB2312" w:hint="eastAsia"/>
          <w:sz w:val="28"/>
          <w:szCs w:val="28"/>
        </w:rPr>
        <w:t>中标、成交供应商享受中小企业扶持政策的，中标、成交供应商的《中小企业声明函》将随中标、成交结果公开。</w:t>
      </w:r>
    </w:p>
    <w:p>
      <w:pPr>
        <w:snapToGrid w:val="0"/>
        <w:spacing w:line="560" w:lineRule="atLeast"/>
        <w:rPr>
          <w:rFonts w:ascii="仿宋_GB2312" w:eastAsia="仿宋_GB2312"/>
          <w:sz w:val="28"/>
          <w:szCs w:val="28"/>
        </w:rPr>
      </w:pPr>
      <w:r>
        <w:rPr>
          <w:rFonts w:ascii="仿宋_GB2312" w:eastAsia="仿宋_GB2312" w:hint="eastAsia"/>
          <w:sz w:val="28"/>
          <w:szCs w:val="28"/>
          <w:lang w:val="en-US" w:eastAsia="zh-CN"/>
        </w:rPr>
        <w:t>20.10</w:t>
      </w:r>
      <w:r>
        <w:rPr>
          <w:rFonts w:ascii="仿宋_GB2312" w:eastAsia="仿宋_GB2312" w:hint="eastAsia"/>
          <w:sz w:val="28"/>
          <w:szCs w:val="28"/>
        </w:rPr>
        <w:t>依法享受扶持政策获得政府采购合同的，小微企业不得将合同分包给大中型企业，中型企业不得将合同分包给大型企业。</w:t>
      </w:r>
    </w:p>
    <w:p>
      <w:pPr>
        <w:snapToGrid w:val="0"/>
        <w:spacing w:line="560" w:lineRule="atLeast"/>
      </w:pPr>
      <w:r>
        <w:rPr>
          <w:rFonts w:ascii="仿宋_GB2312" w:eastAsia="仿宋_GB2312" w:hint="eastAsia"/>
          <w:sz w:val="28"/>
          <w:szCs w:val="28"/>
          <w:lang w:val="en-US" w:eastAsia="zh-CN"/>
        </w:rPr>
        <w:t>20.11</w:t>
      </w:r>
      <w:r>
        <w:rPr>
          <w:rFonts w:ascii="仿宋_GB2312" w:eastAsia="仿宋_GB2312" w:hint="eastAsia"/>
          <w:sz w:val="28"/>
          <w:szCs w:val="28"/>
        </w:rPr>
        <w:t>政府采购监督检查、投诉处理及政府采购行政处罚中对中小企业的认定，由货物制造商或者工程、服务供应商注册登记所在地的县级以上人民政府中小企业主管部门负责。</w:t>
      </w:r>
    </w:p>
    <w:p>
      <w:pPr>
        <w:tabs>
          <w:tab w:val="left" w:pos="9180"/>
        </w:tabs>
        <w:snapToGrid w:val="0"/>
        <w:spacing w:before="142" w:beforeLines="50" w:after="142" w:afterLines="50" w:line="700" w:lineRule="atLeast"/>
        <w:jc w:val="center"/>
        <w:outlineLvl w:val="0"/>
        <w:rPr>
          <w:rFonts w:ascii="宋体" w:hAnsi="宋体"/>
          <w:b/>
          <w:sz w:val="36"/>
        </w:rPr>
      </w:pPr>
      <w:r>
        <w:rPr>
          <w:rFonts w:ascii="宋体" w:hAnsi="宋体" w:hint="eastAsia"/>
          <w:b/>
          <w:sz w:val="36"/>
        </w:rPr>
        <w:t>第三部分    供应商须知</w:t>
      </w:r>
      <w:bookmarkEnd w:id="4"/>
    </w:p>
    <w:p>
      <w:pPr>
        <w:snapToGrid w:val="0"/>
        <w:spacing w:before="142" w:beforeLines="50" w:after="142" w:afterLines="50" w:line="560" w:lineRule="atLeast"/>
        <w:ind w:firstLine="556"/>
        <w:jc w:val="center"/>
        <w:textAlignment w:val="top"/>
        <w:rPr>
          <w:rFonts w:ascii="宋体" w:hAnsi="宋体"/>
          <w:b/>
          <w:sz w:val="32"/>
          <w:szCs w:val="32"/>
        </w:rPr>
      </w:pPr>
      <w:r>
        <w:rPr>
          <w:rFonts w:ascii="宋体" w:hAnsi="宋体" w:hint="eastAsia"/>
          <w:b/>
          <w:sz w:val="36"/>
          <w:szCs w:val="36"/>
        </w:rPr>
        <w:t>一、说明</w:t>
      </w:r>
    </w:p>
    <w:p>
      <w:pPr>
        <w:snapToGrid w:val="0"/>
        <w:spacing w:line="560" w:lineRule="atLeast"/>
        <w:rPr>
          <w:rFonts w:ascii="仿宋_GB2312" w:eastAsia="仿宋_GB2312"/>
          <w:sz w:val="28"/>
          <w:szCs w:val="28"/>
        </w:rPr>
      </w:pPr>
      <w:r>
        <w:rPr>
          <w:rFonts w:ascii="仿宋_GB2312" w:eastAsia="仿宋_GB2312" w:hint="eastAsia"/>
          <w:sz w:val="28"/>
          <w:szCs w:val="28"/>
        </w:rPr>
        <w:t>1.适用范围</w:t>
      </w:r>
    </w:p>
    <w:p>
      <w:pPr>
        <w:snapToGrid w:val="0"/>
        <w:spacing w:line="560" w:lineRule="atLeast"/>
        <w:rPr>
          <w:rFonts w:ascii="仿宋_GB2312" w:eastAsia="仿宋_GB2312"/>
          <w:sz w:val="28"/>
          <w:szCs w:val="28"/>
        </w:rPr>
      </w:pPr>
      <w:r>
        <w:rPr>
          <w:rFonts w:ascii="仿宋_GB2312" w:eastAsia="仿宋_GB2312" w:hint="eastAsia"/>
          <w:sz w:val="28"/>
          <w:szCs w:val="28"/>
        </w:rPr>
        <w:t>1.1本采购文件仅适用于本次采购所述的服务。</w:t>
      </w:r>
    </w:p>
    <w:p>
      <w:pPr>
        <w:snapToGrid w:val="0"/>
        <w:spacing w:line="560" w:lineRule="atLeast"/>
        <w:rPr>
          <w:rFonts w:ascii="仿宋_GB2312" w:eastAsia="仿宋_GB2312"/>
          <w:sz w:val="28"/>
          <w:szCs w:val="28"/>
        </w:rPr>
      </w:pPr>
      <w:r>
        <w:rPr>
          <w:rFonts w:ascii="仿宋_GB2312" w:eastAsia="仿宋_GB2312" w:hint="eastAsia"/>
          <w:sz w:val="28"/>
          <w:szCs w:val="28"/>
        </w:rPr>
        <w:t>2.合格的供应商</w:t>
      </w:r>
    </w:p>
    <w:p>
      <w:pPr>
        <w:snapToGrid w:val="0"/>
        <w:spacing w:line="560" w:lineRule="atLeast"/>
        <w:rPr>
          <w:rFonts w:ascii="仿宋_GB2312" w:eastAsia="仿宋_GB2312"/>
          <w:sz w:val="28"/>
          <w:szCs w:val="28"/>
        </w:rPr>
      </w:pPr>
      <w:r>
        <w:rPr>
          <w:rFonts w:ascii="仿宋_GB2312" w:eastAsia="仿宋_GB2312" w:hint="eastAsia"/>
          <w:sz w:val="28"/>
          <w:szCs w:val="28"/>
        </w:rPr>
        <w:t>2.1符合本采购文件第一部分供应商资格要求规定，有能力提供</w:t>
      </w:r>
      <w:r>
        <w:rPr>
          <w:rFonts w:ascii="仿宋_GB2312" w:eastAsia="仿宋_GB2312" w:hint="eastAsia"/>
          <w:sz w:val="28"/>
          <w:szCs w:val="28"/>
          <w:lang w:val="en-US" w:eastAsia="zh-CN"/>
        </w:rPr>
        <w:t>本项目</w:t>
      </w:r>
      <w:r>
        <w:rPr>
          <w:rFonts w:ascii="仿宋_GB2312" w:eastAsia="仿宋_GB2312" w:hint="eastAsia"/>
          <w:sz w:val="28"/>
          <w:szCs w:val="28"/>
        </w:rPr>
        <w:t>服务，承认本采购文件所有内容的</w:t>
      </w:r>
      <w:r>
        <w:rPr>
          <w:rFonts w:ascii="仿宋_GB2312" w:eastAsia="仿宋_GB2312" w:hint="eastAsia"/>
          <w:sz w:val="28"/>
          <w:szCs w:val="28"/>
          <w:lang w:val="en-US" w:eastAsia="zh-CN"/>
        </w:rPr>
        <w:t>供应商</w:t>
      </w:r>
      <w:r>
        <w:rPr>
          <w:rFonts w:ascii="仿宋_GB2312" w:eastAsia="仿宋_GB2312" w:hint="eastAsia"/>
          <w:sz w:val="28"/>
          <w:szCs w:val="28"/>
        </w:rPr>
        <w:t>。</w:t>
      </w:r>
    </w:p>
    <w:p>
      <w:pPr>
        <w:snapToGrid w:val="0"/>
        <w:spacing w:line="560" w:lineRule="atLeast"/>
        <w:rPr>
          <w:rFonts w:ascii="仿宋_GB2312" w:eastAsia="仿宋_GB2312"/>
          <w:sz w:val="28"/>
          <w:szCs w:val="28"/>
        </w:rPr>
      </w:pPr>
      <w:r>
        <w:rPr>
          <w:rFonts w:ascii="仿宋_GB2312" w:eastAsia="仿宋_GB2312" w:hint="eastAsia"/>
          <w:sz w:val="28"/>
          <w:szCs w:val="28"/>
        </w:rPr>
        <w:t>3.合格的服务</w:t>
      </w:r>
    </w:p>
    <w:p>
      <w:pPr>
        <w:snapToGrid w:val="0"/>
        <w:spacing w:line="560" w:lineRule="atLeast"/>
        <w:rPr>
          <w:rFonts w:ascii="仿宋_GB2312" w:eastAsia="仿宋_GB2312"/>
          <w:sz w:val="28"/>
          <w:szCs w:val="28"/>
        </w:rPr>
      </w:pPr>
      <w:r>
        <w:rPr>
          <w:rFonts w:ascii="仿宋_GB2312" w:eastAsia="仿宋_GB2312" w:hint="eastAsia"/>
          <w:sz w:val="28"/>
          <w:szCs w:val="28"/>
        </w:rPr>
        <w:t>3.1合格的</w:t>
      </w:r>
      <w:r>
        <w:rPr>
          <w:rFonts w:ascii="仿宋_GB2312" w:eastAsia="仿宋_GB2312" w:hint="eastAsia"/>
          <w:sz w:val="28"/>
          <w:szCs w:val="28"/>
          <w:lang w:val="en-US" w:eastAsia="zh-CN"/>
        </w:rPr>
        <w:t>服务</w:t>
      </w:r>
      <w:r>
        <w:rPr>
          <w:rFonts w:ascii="仿宋_GB2312" w:eastAsia="仿宋_GB2312" w:hint="eastAsia"/>
          <w:sz w:val="28"/>
          <w:szCs w:val="28"/>
        </w:rPr>
        <w:t>是指由供应商为满足采购文件要求。</w:t>
      </w:r>
    </w:p>
    <w:p>
      <w:pPr>
        <w:snapToGrid w:val="0"/>
        <w:spacing w:line="560" w:lineRule="atLeast"/>
        <w:rPr>
          <w:rFonts w:ascii="仿宋_GB2312" w:eastAsia="仿宋_GB2312"/>
          <w:sz w:val="28"/>
          <w:szCs w:val="28"/>
        </w:rPr>
      </w:pPr>
      <w:r>
        <w:rPr>
          <w:rFonts w:ascii="仿宋_GB2312" w:eastAsia="仿宋_GB2312" w:hint="eastAsia"/>
          <w:sz w:val="28"/>
          <w:szCs w:val="28"/>
        </w:rPr>
        <w:t>3.2 合格的服务是指供应商取样、检验、鉴定、保障服务、技术支持及与</w:t>
      </w:r>
      <w:r>
        <w:rPr>
          <w:rFonts w:ascii="仿宋_GB2312" w:eastAsia="仿宋_GB2312" w:hint="eastAsia"/>
          <w:sz w:val="28"/>
          <w:szCs w:val="28"/>
          <w:lang w:val="en-US" w:eastAsia="zh-CN"/>
        </w:rPr>
        <w:t>项目</w:t>
      </w:r>
      <w:r>
        <w:rPr>
          <w:rFonts w:ascii="仿宋_GB2312" w:eastAsia="仿宋_GB2312" w:hint="eastAsia"/>
          <w:sz w:val="28"/>
          <w:szCs w:val="28"/>
        </w:rPr>
        <w:t>有关的材料、工具、设施和保险以及其他伴随服务。</w:t>
      </w:r>
    </w:p>
    <w:p>
      <w:pPr>
        <w:snapToGrid w:val="0"/>
        <w:spacing w:line="560" w:lineRule="atLeast"/>
        <w:rPr>
          <w:rFonts w:ascii="仿宋_GB2312" w:eastAsia="仿宋_GB2312"/>
          <w:sz w:val="28"/>
          <w:szCs w:val="28"/>
        </w:rPr>
      </w:pPr>
      <w:r>
        <w:rPr>
          <w:rFonts w:ascii="仿宋_GB2312" w:eastAsia="仿宋_GB2312" w:hint="eastAsia"/>
          <w:sz w:val="28"/>
          <w:szCs w:val="28"/>
        </w:rPr>
        <w:t xml:space="preserve">3.3 </w:t>
      </w:r>
      <w:r>
        <w:rPr>
          <w:rFonts w:ascii="仿宋_GB2312" w:eastAsia="仿宋_GB2312" w:hint="eastAsia"/>
          <w:sz w:val="28"/>
          <w:szCs w:val="28"/>
          <w:lang w:val="en-US" w:eastAsia="zh-CN"/>
        </w:rPr>
        <w:t>设施设备</w:t>
      </w:r>
      <w:r>
        <w:rPr>
          <w:rFonts w:ascii="仿宋_GB2312" w:eastAsia="仿宋_GB2312" w:hint="eastAsia"/>
          <w:sz w:val="28"/>
          <w:szCs w:val="28"/>
        </w:rPr>
        <w:t>及其有关服务必须符合中华人民共和国的设计和制造生产的国家相关标准、行业标准、地方标准或者其他标准、规范。</w:t>
      </w:r>
    </w:p>
    <w:p>
      <w:pPr>
        <w:snapToGrid w:val="0"/>
        <w:spacing w:line="560" w:lineRule="atLeast"/>
        <w:rPr>
          <w:rFonts w:ascii="仿宋_GB2312" w:eastAsia="仿宋_GB2312"/>
          <w:sz w:val="28"/>
          <w:szCs w:val="28"/>
        </w:rPr>
      </w:pPr>
      <w:r>
        <w:rPr>
          <w:rFonts w:ascii="仿宋_GB2312" w:eastAsia="仿宋_GB2312" w:hint="eastAsia"/>
          <w:sz w:val="28"/>
          <w:szCs w:val="28"/>
        </w:rPr>
        <w:t>4.投标费用</w:t>
      </w:r>
    </w:p>
    <w:p>
      <w:pPr>
        <w:snapToGrid w:val="0"/>
        <w:spacing w:line="560" w:lineRule="atLeast"/>
        <w:rPr>
          <w:rFonts w:ascii="仿宋_GB2312" w:eastAsia="仿宋_GB2312"/>
          <w:sz w:val="28"/>
          <w:szCs w:val="28"/>
        </w:rPr>
      </w:pPr>
      <w:r>
        <w:rPr>
          <w:rFonts w:ascii="仿宋_GB2312" w:eastAsia="仿宋_GB2312" w:hint="eastAsia"/>
          <w:sz w:val="28"/>
          <w:szCs w:val="28"/>
        </w:rPr>
        <w:t>4.1无论参与本项目过程中的作法和结果如何,供应商应自行承担其参加本项目有关的全部费用。</w:t>
      </w:r>
    </w:p>
    <w:p>
      <w:pPr>
        <w:snapToGrid w:val="0"/>
        <w:spacing w:line="560" w:lineRule="atLeast"/>
        <w:rPr>
          <w:rFonts w:ascii="仿宋_GB2312" w:eastAsia="仿宋_GB2312"/>
          <w:sz w:val="28"/>
          <w:szCs w:val="28"/>
        </w:rPr>
      </w:pPr>
      <w:r>
        <w:rPr>
          <w:rFonts w:ascii="仿宋_GB2312" w:eastAsia="仿宋_GB2312" w:hint="eastAsia"/>
          <w:sz w:val="28"/>
          <w:szCs w:val="28"/>
        </w:rPr>
        <w:t>5.知识产权</w:t>
      </w:r>
    </w:p>
    <w:p>
      <w:pPr>
        <w:snapToGrid w:val="0"/>
        <w:spacing w:line="560" w:lineRule="atLeast"/>
        <w:rPr>
          <w:rFonts w:ascii="仿宋_GB2312" w:eastAsia="仿宋_GB2312"/>
          <w:sz w:val="28"/>
          <w:szCs w:val="28"/>
        </w:rPr>
      </w:pPr>
      <w:r>
        <w:rPr>
          <w:rFonts w:ascii="仿宋_GB2312" w:eastAsia="仿宋_GB2312" w:hint="eastAsia"/>
          <w:sz w:val="28"/>
          <w:szCs w:val="28"/>
        </w:rPr>
        <w:t>5.1供应商须保证采购人在中华人民共和国境内使用所供货物、资料、技术、服务或其任何一部分时，享有不受限制的无偿使用权，不会产生因第三方提出侵犯其专利权、商标权或其它知识产权而引起的法律或经济纠纷。如供应商不拥有响应的知识产权，则在报价中必须包括合法获取该知识产权的一切相关费用。如因此导致采购人损失的，供应商须承担全部赔偿责任。</w:t>
      </w:r>
    </w:p>
    <w:p>
      <w:pPr>
        <w:snapToGrid w:val="0"/>
        <w:spacing w:line="560" w:lineRule="atLeast"/>
        <w:rPr>
          <w:rFonts w:ascii="仿宋_GB2312" w:eastAsia="仿宋_GB2312"/>
          <w:sz w:val="28"/>
          <w:szCs w:val="28"/>
        </w:rPr>
      </w:pPr>
      <w:r>
        <w:rPr>
          <w:rFonts w:ascii="仿宋_GB2312" w:eastAsia="仿宋_GB2312" w:hint="eastAsia"/>
          <w:sz w:val="28"/>
          <w:szCs w:val="28"/>
        </w:rPr>
        <w:t>5.2供应商如欲在项目实施过程中采用自有知识成果，须在响应文件中声明，并提供相关知识产权证明文件。使用该知识成果后，供应商须提供开发接口和开发手册等技术文档。</w:t>
      </w:r>
    </w:p>
    <w:p>
      <w:pPr>
        <w:snapToGrid w:val="0"/>
        <w:spacing w:line="560" w:lineRule="atLeast"/>
        <w:rPr>
          <w:rFonts w:ascii="仿宋_GB2312" w:eastAsia="仿宋_GB2312"/>
          <w:b/>
          <w:bCs/>
          <w:color w:val="0000FF"/>
          <w:sz w:val="28"/>
          <w:szCs w:val="28"/>
        </w:rPr>
      </w:pPr>
      <w:r>
        <w:rPr>
          <w:rFonts w:ascii="仿宋_GB2312" w:eastAsia="仿宋_GB2312" w:hint="eastAsia"/>
          <w:b/>
          <w:bCs/>
          <w:sz w:val="28"/>
          <w:szCs w:val="28"/>
        </w:rPr>
        <w:t>6.联合体投标：否</w:t>
      </w:r>
    </w:p>
    <w:p>
      <w:pPr>
        <w:snapToGrid w:val="0"/>
        <w:spacing w:line="560" w:lineRule="atLeast"/>
        <w:rPr>
          <w:rFonts w:ascii="仿宋_GB2312" w:eastAsia="仿宋_GB2312"/>
          <w:sz w:val="28"/>
          <w:szCs w:val="28"/>
        </w:rPr>
      </w:pPr>
      <w:r>
        <w:rPr>
          <w:rFonts w:ascii="仿宋_GB2312" w:eastAsia="仿宋_GB2312" w:hint="eastAsia"/>
          <w:sz w:val="28"/>
          <w:szCs w:val="28"/>
        </w:rPr>
        <w:t>7.信用信息</w:t>
      </w:r>
    </w:p>
    <w:p>
      <w:pPr>
        <w:snapToGrid w:val="0"/>
        <w:spacing w:line="560" w:lineRule="atLeast"/>
        <w:rPr>
          <w:rFonts w:ascii="仿宋_GB2312" w:eastAsia="仿宋_GB2312"/>
          <w:sz w:val="28"/>
          <w:szCs w:val="28"/>
        </w:rPr>
      </w:pPr>
      <w:r>
        <w:rPr>
          <w:rFonts w:ascii="仿宋_GB2312" w:eastAsia="仿宋_GB2312" w:hint="eastAsia"/>
          <w:sz w:val="28"/>
          <w:szCs w:val="28"/>
        </w:rPr>
        <w:t>7.1依据《财政部关于在政府采购活动中查询及使用信用记录有关问题的通知》（财办库〔2016〕125号）和《河南省财政厅关于转发财政部关于在政府采购活动中查询及使用信用记录有关问题的通知的通知》（豫财购〔2016〕15号）文件的要求，将对参加本项目的供应商进行信用信息查询。</w:t>
      </w:r>
    </w:p>
    <w:p>
      <w:pPr>
        <w:snapToGrid w:val="0"/>
        <w:spacing w:line="560" w:lineRule="atLeast"/>
        <w:rPr>
          <w:rFonts w:ascii="仿宋_GB2312" w:eastAsia="仿宋_GB2312"/>
          <w:sz w:val="28"/>
          <w:szCs w:val="28"/>
        </w:rPr>
      </w:pPr>
      <w:r>
        <w:rPr>
          <w:rFonts w:ascii="仿宋_GB2312" w:eastAsia="仿宋_GB2312" w:hint="eastAsia"/>
          <w:sz w:val="28"/>
          <w:szCs w:val="28"/>
        </w:rPr>
        <w:t>7.2信用信息查询渠道和内容为：</w:t>
      </w:r>
    </w:p>
    <w:p>
      <w:pPr>
        <w:snapToGrid w:val="0"/>
        <w:spacing w:line="560" w:lineRule="atLeast"/>
        <w:rPr>
          <w:rFonts w:ascii="仿宋_GB2312" w:eastAsia="仿宋_GB2312"/>
          <w:sz w:val="28"/>
          <w:szCs w:val="28"/>
        </w:rPr>
      </w:pPr>
      <w:r>
        <w:rPr>
          <w:rFonts w:ascii="仿宋_GB2312" w:eastAsia="仿宋_GB2312" w:hint="eastAsia"/>
          <w:sz w:val="28"/>
          <w:szCs w:val="28"/>
        </w:rPr>
        <w:t>（1）在“信用中国”网站（www.creditchina.gov.cn）查询“失信被执行人”和“</w:t>
      </w:r>
      <w:r>
        <w:rPr>
          <w:rFonts w:ascii="仿宋_GB2312" w:eastAsia="仿宋_GB2312" w:hint="eastAsia"/>
          <w:spacing w:val="2"/>
          <w:sz w:val="28"/>
          <w:szCs w:val="28"/>
        </w:rPr>
        <w:t>重大税收违法失信主体</w:t>
      </w:r>
      <w:r>
        <w:rPr>
          <w:rFonts w:ascii="仿宋_GB2312" w:eastAsia="仿宋_GB2312" w:hint="eastAsia"/>
          <w:sz w:val="28"/>
          <w:szCs w:val="28"/>
        </w:rPr>
        <w:t>”。</w:t>
      </w:r>
    </w:p>
    <w:p>
      <w:pPr>
        <w:snapToGrid w:val="0"/>
        <w:spacing w:line="560" w:lineRule="atLeast"/>
        <w:rPr>
          <w:rFonts w:ascii="仿宋_GB2312" w:eastAsia="仿宋_GB2312"/>
          <w:sz w:val="28"/>
          <w:szCs w:val="28"/>
        </w:rPr>
      </w:pPr>
      <w:r>
        <w:rPr>
          <w:rFonts w:ascii="仿宋_GB2312" w:eastAsia="仿宋_GB2312" w:hint="eastAsia"/>
          <w:sz w:val="28"/>
          <w:szCs w:val="28"/>
        </w:rPr>
        <w:t>（2）在中国政府采购网（www.ccgp.gov.cn）查询“政府采购严重违法失信行为记录名单”。</w:t>
      </w:r>
    </w:p>
    <w:p>
      <w:pPr>
        <w:snapToGrid w:val="0"/>
        <w:spacing w:line="560" w:lineRule="atLeast"/>
        <w:rPr>
          <w:rFonts w:ascii="仿宋_GB2312" w:eastAsia="仿宋_GB2312"/>
          <w:sz w:val="28"/>
          <w:szCs w:val="28"/>
        </w:rPr>
      </w:pPr>
      <w:r>
        <w:rPr>
          <w:rFonts w:ascii="仿宋_GB2312" w:eastAsia="仿宋_GB2312" w:hint="eastAsia"/>
          <w:sz w:val="28"/>
          <w:szCs w:val="28"/>
        </w:rPr>
        <w:t>7.3供应商信用信息的截止时点为本项目提交响应文件截止时间，采购代理机构将在解密响应文件之前对参加本项目的供应商进行信用信息查询。</w:t>
      </w:r>
    </w:p>
    <w:p>
      <w:pPr>
        <w:snapToGrid w:val="0"/>
        <w:spacing w:line="560" w:lineRule="atLeast"/>
        <w:rPr>
          <w:rFonts w:ascii="仿宋_GB2312" w:eastAsia="仿宋_GB2312"/>
          <w:sz w:val="28"/>
          <w:szCs w:val="28"/>
        </w:rPr>
      </w:pPr>
      <w:r>
        <w:rPr>
          <w:rFonts w:ascii="仿宋_GB2312" w:eastAsia="仿宋_GB2312" w:hint="eastAsia"/>
          <w:sz w:val="28"/>
          <w:szCs w:val="28"/>
        </w:rPr>
        <w:t>7.4采购人、采购代理机构会将查询的供应商信用信息进行截图打印，作为证据留存。对列入失信被执行人、</w:t>
      </w:r>
      <w:r>
        <w:rPr>
          <w:rFonts w:ascii="仿宋_GB2312" w:eastAsia="仿宋_GB2312" w:hint="eastAsia"/>
          <w:spacing w:val="2"/>
          <w:sz w:val="28"/>
          <w:szCs w:val="28"/>
        </w:rPr>
        <w:t>重大税收违法失信主体</w:t>
      </w:r>
      <w:r>
        <w:rPr>
          <w:rFonts w:ascii="仿宋_GB2312" w:eastAsia="仿宋_GB2312" w:hint="eastAsia"/>
          <w:sz w:val="28"/>
          <w:szCs w:val="28"/>
        </w:rPr>
        <w:t>、政府采购严重违法失信行为记录名单及其他不符合《中华人民共和国政府采购法》第二十二条规定条件的供应商，采购人、采购代理机构拒绝其参加该项目的政府采购活动。</w:t>
      </w:r>
    </w:p>
    <w:p>
      <w:pPr>
        <w:snapToGrid w:val="0"/>
        <w:spacing w:line="560" w:lineRule="atLeast"/>
        <w:rPr>
          <w:rFonts w:ascii="仿宋_GB2312" w:eastAsia="仿宋_GB2312"/>
          <w:sz w:val="28"/>
          <w:szCs w:val="28"/>
        </w:rPr>
      </w:pPr>
      <w:r>
        <w:rPr>
          <w:rFonts w:ascii="仿宋_GB2312" w:eastAsia="仿宋_GB2312" w:hint="eastAsia"/>
          <w:sz w:val="28"/>
          <w:szCs w:val="28"/>
        </w:rPr>
        <w:t>8.超范围经营</w:t>
      </w:r>
    </w:p>
    <w:p>
      <w:pPr>
        <w:snapToGrid w:val="0"/>
        <w:spacing w:line="560" w:lineRule="atLeast"/>
      </w:pPr>
      <w:r>
        <w:rPr>
          <w:rFonts w:ascii="仿宋_GB2312" w:eastAsia="仿宋_GB2312" w:hint="eastAsia"/>
          <w:sz w:val="28"/>
          <w:szCs w:val="28"/>
        </w:rPr>
        <w:t>8.1超出营业范围，判断供应商参与的合法性和合同的有效性，应该先分清是一般项目还是限制经营（烟花爆竹等商品）、特许经营（烟酒等商品）以及禁止经营项目；其次要区分违反的是管理性的强制规定还是效力性的强制规定。国务院令第 370 号《无照经营查处取缔办法》和最高法院的司法解释明确，超越经营范围（含没有经营范围）但不违反国家限制经营、特许经营以及法律、行政法规禁止经营（不违反行政许可、行政审批项目），不属于违法经营行为，所订立的合同是有效合同。</w:t>
      </w:r>
    </w:p>
    <w:p>
      <w:pPr>
        <w:snapToGrid w:val="0"/>
        <w:spacing w:before="142" w:beforeLines="50" w:after="142" w:afterLines="50" w:line="560" w:lineRule="atLeast"/>
        <w:ind w:firstLine="3240" w:firstLineChars="900"/>
        <w:textAlignment w:val="top"/>
        <w:rPr>
          <w:rFonts w:ascii="宋体" w:hAnsi="宋体"/>
          <w:b/>
          <w:sz w:val="32"/>
          <w:szCs w:val="32"/>
        </w:rPr>
      </w:pPr>
      <w:r>
        <w:rPr>
          <w:rFonts w:ascii="宋体" w:hAnsi="宋体" w:hint="eastAsia"/>
          <w:b/>
          <w:sz w:val="36"/>
          <w:szCs w:val="36"/>
        </w:rPr>
        <w:t>二、采购文件</w:t>
      </w:r>
    </w:p>
    <w:p>
      <w:pPr>
        <w:snapToGrid w:val="0"/>
        <w:spacing w:line="560" w:lineRule="atLeast"/>
        <w:rPr>
          <w:rFonts w:ascii="仿宋_GB2312" w:eastAsia="仿宋_GB2312"/>
          <w:sz w:val="28"/>
          <w:szCs w:val="28"/>
        </w:rPr>
      </w:pPr>
      <w:r>
        <w:rPr>
          <w:rFonts w:ascii="仿宋_GB2312" w:eastAsia="仿宋_GB2312" w:hint="eastAsia"/>
          <w:sz w:val="28"/>
          <w:szCs w:val="28"/>
        </w:rPr>
        <w:t>9.采购文件的构成</w:t>
      </w:r>
    </w:p>
    <w:p>
      <w:pPr>
        <w:snapToGrid w:val="0"/>
        <w:spacing w:line="560" w:lineRule="atLeast"/>
        <w:rPr>
          <w:rFonts w:ascii="仿宋_GB2312" w:eastAsia="仿宋_GB2312"/>
          <w:sz w:val="28"/>
          <w:szCs w:val="28"/>
        </w:rPr>
      </w:pPr>
      <w:r>
        <w:rPr>
          <w:rFonts w:ascii="仿宋_GB2312" w:eastAsia="仿宋_GB2312" w:hint="eastAsia"/>
          <w:sz w:val="28"/>
          <w:szCs w:val="28"/>
        </w:rPr>
        <w:t>9.1采购文件用以阐明采购人所需货物服务、谈判采购程序和合同条款。采购文件由下述部分组成：</w:t>
      </w:r>
    </w:p>
    <w:p>
      <w:pPr>
        <w:snapToGrid w:val="0"/>
        <w:spacing w:line="560" w:lineRule="atLeast"/>
        <w:rPr>
          <w:rFonts w:ascii="仿宋_GB2312" w:eastAsia="仿宋_GB2312"/>
          <w:sz w:val="28"/>
          <w:szCs w:val="28"/>
        </w:rPr>
      </w:pPr>
      <w:r>
        <w:rPr>
          <w:rFonts w:ascii="仿宋_GB2312" w:eastAsia="仿宋_GB2312" w:hint="eastAsia"/>
          <w:sz w:val="28"/>
          <w:szCs w:val="28"/>
        </w:rPr>
        <w:t>(1) 谈判公告</w:t>
      </w:r>
    </w:p>
    <w:p>
      <w:pPr>
        <w:snapToGrid w:val="0"/>
        <w:spacing w:line="560" w:lineRule="atLeast"/>
        <w:rPr>
          <w:rFonts w:ascii="仿宋_GB2312" w:eastAsia="仿宋_GB2312"/>
          <w:sz w:val="28"/>
          <w:szCs w:val="28"/>
        </w:rPr>
      </w:pPr>
      <w:r>
        <w:rPr>
          <w:rFonts w:ascii="仿宋_GB2312" w:eastAsia="仿宋_GB2312" w:hint="eastAsia"/>
          <w:sz w:val="28"/>
          <w:szCs w:val="28"/>
        </w:rPr>
        <w:t>(2) 采购人需求</w:t>
      </w:r>
    </w:p>
    <w:p>
      <w:pPr>
        <w:snapToGrid w:val="0"/>
        <w:spacing w:line="560" w:lineRule="atLeast"/>
        <w:rPr>
          <w:rFonts w:ascii="仿宋_GB2312" w:eastAsia="仿宋_GB2312"/>
          <w:sz w:val="28"/>
          <w:szCs w:val="28"/>
        </w:rPr>
      </w:pPr>
      <w:r>
        <w:rPr>
          <w:rFonts w:ascii="仿宋_GB2312" w:eastAsia="仿宋_GB2312" w:hint="eastAsia"/>
          <w:sz w:val="28"/>
          <w:szCs w:val="28"/>
        </w:rPr>
        <w:t>(3) 供应商须知</w:t>
      </w:r>
    </w:p>
    <w:p>
      <w:pPr>
        <w:snapToGrid w:val="0"/>
        <w:spacing w:line="560" w:lineRule="atLeast"/>
        <w:rPr>
          <w:rFonts w:ascii="仿宋_GB2312" w:eastAsia="仿宋_GB2312"/>
          <w:sz w:val="28"/>
          <w:szCs w:val="28"/>
        </w:rPr>
      </w:pPr>
      <w:r>
        <w:rPr>
          <w:rFonts w:ascii="仿宋_GB2312" w:eastAsia="仿宋_GB2312" w:hint="eastAsia"/>
          <w:sz w:val="28"/>
          <w:szCs w:val="28"/>
        </w:rPr>
        <w:t>(4) 合同（格式）</w:t>
      </w:r>
    </w:p>
    <w:p>
      <w:pPr>
        <w:snapToGrid w:val="0"/>
        <w:spacing w:line="560" w:lineRule="atLeast"/>
        <w:rPr>
          <w:rFonts w:ascii="仿宋_GB2312" w:eastAsia="仿宋_GB2312"/>
          <w:sz w:val="28"/>
          <w:szCs w:val="28"/>
        </w:rPr>
      </w:pPr>
      <w:r>
        <w:rPr>
          <w:rFonts w:ascii="仿宋_GB2312" w:eastAsia="仿宋_GB2312" w:hint="eastAsia"/>
          <w:sz w:val="28"/>
          <w:szCs w:val="28"/>
        </w:rPr>
        <w:t>(5) 附件——响应文件格式</w:t>
      </w:r>
    </w:p>
    <w:p>
      <w:pPr>
        <w:snapToGrid w:val="0"/>
        <w:spacing w:line="560" w:lineRule="atLeast"/>
        <w:rPr>
          <w:rFonts w:ascii="仿宋_GB2312" w:eastAsia="仿宋_GB2312"/>
          <w:sz w:val="28"/>
          <w:szCs w:val="28"/>
        </w:rPr>
      </w:pPr>
      <w:r>
        <w:rPr>
          <w:rFonts w:ascii="仿宋_GB2312" w:eastAsia="仿宋_GB2312" w:hint="eastAsia"/>
          <w:sz w:val="28"/>
          <w:szCs w:val="28"/>
        </w:rPr>
        <w:t>9.2供应商获取采购文件后，应仔细阅读采购文件，按采购文件的要求提供响应文件，并保证所提供的全部资料的真实性，以使其响应对采购文件做出满足，否则，将承担其谈判被拒绝或终止的风险。</w:t>
      </w:r>
    </w:p>
    <w:p>
      <w:pPr>
        <w:snapToGrid w:val="0"/>
        <w:spacing w:line="560" w:lineRule="atLeast"/>
        <w:rPr>
          <w:rFonts w:ascii="仿宋_GB2312" w:eastAsia="仿宋_GB2312"/>
          <w:sz w:val="28"/>
          <w:szCs w:val="28"/>
        </w:rPr>
      </w:pPr>
      <w:r>
        <w:rPr>
          <w:rFonts w:ascii="仿宋_GB2312" w:eastAsia="仿宋_GB2312" w:hint="eastAsia"/>
          <w:sz w:val="28"/>
          <w:szCs w:val="28"/>
        </w:rPr>
        <w:t>10.采购文件的澄清与修改</w:t>
      </w:r>
    </w:p>
    <w:p>
      <w:pPr>
        <w:snapToGrid w:val="0"/>
        <w:spacing w:line="560" w:lineRule="atLeast"/>
        <w:rPr>
          <w:rFonts w:ascii="仿宋_GB2312" w:eastAsia="仿宋_GB2312"/>
          <w:sz w:val="28"/>
          <w:szCs w:val="28"/>
        </w:rPr>
      </w:pPr>
      <w:r>
        <w:rPr>
          <w:rFonts w:ascii="仿宋_GB2312" w:eastAsia="仿宋_GB2312" w:hint="eastAsia"/>
          <w:sz w:val="28"/>
          <w:szCs w:val="28"/>
        </w:rPr>
        <w:t>10.1采购代理机构对已发出的采购文件进行必要的澄清或修改的，将在响应文件提交截止时间3天前。澄清或修改内容将在河南省政府采购网和安阳市公共资源交易中心网等财政部门指定的政府采购信息发布媒体上公布。</w:t>
      </w:r>
    </w:p>
    <w:p>
      <w:pPr>
        <w:snapToGrid w:val="0"/>
        <w:spacing w:line="560" w:lineRule="atLeast"/>
        <w:rPr>
          <w:rFonts w:ascii="仿宋_GB2312" w:eastAsia="仿宋_GB2312"/>
          <w:sz w:val="28"/>
          <w:szCs w:val="28"/>
        </w:rPr>
      </w:pPr>
      <w:r>
        <w:rPr>
          <w:rFonts w:ascii="仿宋_GB2312" w:eastAsia="仿宋_GB2312" w:hint="eastAsia"/>
          <w:sz w:val="28"/>
          <w:szCs w:val="28"/>
        </w:rPr>
        <w:t>10.2公告期间，供应商有义务上网查看，澄清或修改公告一经上网发布，即视为书面通知。采购文件的澄清或修改内容作为采购文件的组成部分，具有约束作用。</w:t>
      </w:r>
    </w:p>
    <w:p>
      <w:pPr>
        <w:snapToGrid w:val="0"/>
        <w:spacing w:line="560" w:lineRule="atLeast"/>
        <w:rPr>
          <w:rFonts w:ascii="宋体" w:hAnsi="宋体"/>
          <w:b/>
          <w:sz w:val="36"/>
          <w:szCs w:val="36"/>
          <w:highlight w:val="yellow"/>
        </w:rPr>
      </w:pPr>
      <w:r>
        <w:rPr>
          <w:rFonts w:ascii="仿宋_GB2312" w:eastAsia="仿宋_GB2312" w:hint="eastAsia"/>
          <w:sz w:val="28"/>
          <w:szCs w:val="28"/>
          <w:highlight w:val="none"/>
        </w:rPr>
        <w:t>10.3供应商未在文件获取截止日</w:t>
      </w:r>
      <w:r>
        <w:rPr>
          <w:rFonts w:ascii="仿宋_GB2312" w:eastAsia="仿宋_GB2312" w:hint="eastAsia"/>
          <w:sz w:val="28"/>
          <w:szCs w:val="28"/>
          <w:highlight w:val="none"/>
          <w:lang w:val="en-US" w:eastAsia="zh-CN"/>
        </w:rPr>
        <w:t>后</w:t>
      </w:r>
      <w:r>
        <w:rPr>
          <w:rFonts w:ascii="仿宋_GB2312" w:eastAsia="仿宋_GB2312" w:hint="eastAsia"/>
          <w:sz w:val="28"/>
          <w:szCs w:val="28"/>
          <w:highlight w:val="none"/>
        </w:rPr>
        <w:t>2日内规定的期间内提出质疑的，视为完全接受采购文件规定的所有条款。对采购文件中描述有前后不一致的地方，谈判小组有权进行评判，对同一条款的评判应适用于每个供应商。</w:t>
      </w:r>
    </w:p>
    <w:p>
      <w:pPr>
        <w:snapToGrid w:val="0"/>
        <w:spacing w:before="142" w:beforeLines="50" w:after="142" w:afterLines="50" w:line="560" w:lineRule="atLeast"/>
        <w:ind w:firstLine="556"/>
        <w:jc w:val="center"/>
        <w:textAlignment w:val="top"/>
        <w:rPr>
          <w:rFonts w:ascii="宋体" w:hAnsi="宋体"/>
          <w:b/>
          <w:sz w:val="32"/>
          <w:szCs w:val="32"/>
        </w:rPr>
      </w:pPr>
      <w:r>
        <w:rPr>
          <w:rFonts w:ascii="宋体" w:hAnsi="宋体" w:hint="eastAsia"/>
          <w:b/>
          <w:sz w:val="36"/>
          <w:szCs w:val="36"/>
        </w:rPr>
        <w:t>三、响应文件的编写</w:t>
      </w:r>
    </w:p>
    <w:p>
      <w:pPr>
        <w:snapToGrid w:val="0"/>
        <w:spacing w:line="560" w:lineRule="atLeast"/>
        <w:rPr>
          <w:rFonts w:ascii="仿宋_GB2312" w:eastAsia="仿宋_GB2312"/>
          <w:sz w:val="28"/>
          <w:szCs w:val="28"/>
        </w:rPr>
      </w:pPr>
      <w:r>
        <w:rPr>
          <w:rFonts w:ascii="仿宋_GB2312" w:eastAsia="仿宋_GB2312" w:hint="eastAsia"/>
          <w:sz w:val="28"/>
          <w:szCs w:val="28"/>
        </w:rPr>
        <w:t>11.</w:t>
      </w:r>
      <w:bookmarkStart w:id="5" w:name="_Toc303084255"/>
      <w:bookmarkStart w:id="6" w:name="_Toc382049102"/>
      <w:bookmarkStart w:id="7" w:name="_Toc410723287"/>
      <w:r>
        <w:rPr>
          <w:rFonts w:ascii="仿宋_GB2312" w:eastAsia="仿宋_GB2312" w:hint="eastAsia"/>
          <w:sz w:val="28"/>
          <w:szCs w:val="28"/>
        </w:rPr>
        <w:t>响应文件的语言及度量衡单位</w:t>
      </w:r>
      <w:bookmarkEnd w:id="5"/>
      <w:bookmarkEnd w:id="6"/>
      <w:bookmarkEnd w:id="7"/>
    </w:p>
    <w:p>
      <w:pPr>
        <w:snapToGrid w:val="0"/>
        <w:spacing w:line="560" w:lineRule="atLeast"/>
        <w:rPr>
          <w:rFonts w:ascii="仿宋_GB2312" w:eastAsia="仿宋_GB2312"/>
          <w:sz w:val="28"/>
          <w:szCs w:val="28"/>
        </w:rPr>
      </w:pPr>
      <w:r>
        <w:rPr>
          <w:rFonts w:ascii="仿宋_GB2312" w:eastAsia="仿宋_GB2312" w:hint="eastAsia"/>
          <w:sz w:val="28"/>
          <w:szCs w:val="28"/>
        </w:rPr>
        <w:t>11.1响应文件以及供应商所有与采购人及采购代理机构就本项目来往的函电均使用中文。供应商提供的外文资料应附有相应的中文译本，并以中文译本为准。</w:t>
      </w:r>
    </w:p>
    <w:p>
      <w:pPr>
        <w:snapToGrid w:val="0"/>
        <w:spacing w:line="560" w:lineRule="atLeast"/>
        <w:rPr>
          <w:rFonts w:ascii="仿宋_GB2312" w:eastAsia="仿宋_GB2312"/>
          <w:sz w:val="28"/>
          <w:szCs w:val="28"/>
        </w:rPr>
      </w:pPr>
      <w:r>
        <w:rPr>
          <w:rFonts w:ascii="仿宋_GB2312" w:eastAsia="仿宋_GB2312" w:hint="eastAsia"/>
          <w:sz w:val="28"/>
          <w:szCs w:val="28"/>
        </w:rPr>
        <w:t>11.2除在采购文件的基本技术要求中另有规定外，计量单位均使用公制计量单位。</w:t>
      </w:r>
    </w:p>
    <w:p>
      <w:pPr>
        <w:snapToGrid w:val="0"/>
        <w:spacing w:line="560" w:lineRule="atLeast"/>
        <w:rPr>
          <w:rFonts w:ascii="仿宋_GB2312" w:eastAsia="仿宋_GB2312"/>
          <w:sz w:val="28"/>
          <w:szCs w:val="28"/>
        </w:rPr>
      </w:pPr>
      <w:r>
        <w:rPr>
          <w:rFonts w:ascii="仿宋_GB2312" w:eastAsia="仿宋_GB2312" w:hint="eastAsia"/>
          <w:sz w:val="28"/>
          <w:szCs w:val="28"/>
        </w:rPr>
        <w:t>12.响应文件的组成</w:t>
      </w:r>
    </w:p>
    <w:p>
      <w:pPr>
        <w:snapToGrid w:val="0"/>
        <w:spacing w:line="560" w:lineRule="atLeast"/>
        <w:rPr>
          <w:rFonts w:ascii="仿宋_GB2312" w:eastAsia="仿宋_GB2312"/>
          <w:sz w:val="28"/>
          <w:szCs w:val="28"/>
        </w:rPr>
      </w:pPr>
      <w:r>
        <w:rPr>
          <w:rFonts w:ascii="仿宋_GB2312" w:eastAsia="仿宋_GB2312" w:hint="eastAsia"/>
          <w:sz w:val="28"/>
          <w:szCs w:val="28"/>
        </w:rPr>
        <w:t>12.1响应文件应包括采购文件“第五部分附件——响应文件格式”中所要求的内容。</w:t>
      </w:r>
    </w:p>
    <w:p>
      <w:pPr>
        <w:snapToGrid w:val="0"/>
        <w:spacing w:line="560" w:lineRule="atLeast"/>
        <w:rPr>
          <w:rFonts w:ascii="仿宋_GB2312" w:eastAsia="仿宋_GB2312"/>
          <w:sz w:val="28"/>
          <w:szCs w:val="28"/>
        </w:rPr>
      </w:pPr>
      <w:r>
        <w:rPr>
          <w:rFonts w:ascii="仿宋_GB2312" w:eastAsia="仿宋_GB2312" w:hint="eastAsia"/>
          <w:sz w:val="28"/>
          <w:szCs w:val="28"/>
        </w:rPr>
        <w:t>13.响应文件格式</w:t>
      </w:r>
    </w:p>
    <w:p>
      <w:pPr>
        <w:snapToGrid w:val="0"/>
        <w:spacing w:line="560" w:lineRule="atLeast"/>
        <w:rPr>
          <w:rFonts w:ascii="仿宋_GB2312" w:eastAsia="仿宋_GB2312"/>
          <w:sz w:val="28"/>
          <w:szCs w:val="28"/>
        </w:rPr>
      </w:pPr>
      <w:r>
        <w:rPr>
          <w:rFonts w:ascii="仿宋_GB2312" w:eastAsia="仿宋_GB2312" w:hint="eastAsia"/>
          <w:sz w:val="28"/>
          <w:szCs w:val="28"/>
        </w:rPr>
        <w:t>13.1供应商应按采购文件“第五部分附件——响应文件格式” 中所要求的内容及顺序编制响应文件，并编制目录及页码，如未列明格式的，由供应商自行设计。</w:t>
      </w:r>
    </w:p>
    <w:p>
      <w:pPr>
        <w:snapToGrid w:val="0"/>
        <w:spacing w:line="560" w:lineRule="atLeast"/>
        <w:rPr>
          <w:rFonts w:ascii="仿宋_GB2312" w:eastAsia="仿宋_GB2312"/>
          <w:sz w:val="28"/>
          <w:szCs w:val="28"/>
        </w:rPr>
      </w:pPr>
      <w:r>
        <w:rPr>
          <w:rFonts w:ascii="仿宋_GB2312" w:eastAsia="仿宋_GB2312" w:hint="eastAsia"/>
          <w:sz w:val="28"/>
          <w:szCs w:val="28"/>
        </w:rPr>
        <w:t>13.2供应商响应文件的编制需在“安阳市政府采购投标文件编制系统”中进行，编制系统可在安阳市公共资源交易中心网站内进行下载。</w:t>
      </w:r>
    </w:p>
    <w:p>
      <w:pPr>
        <w:snapToGrid w:val="0"/>
        <w:spacing w:line="560" w:lineRule="atLeast"/>
        <w:rPr>
          <w:rFonts w:ascii="仿宋_GB2312" w:eastAsia="仿宋_GB2312"/>
          <w:sz w:val="28"/>
          <w:szCs w:val="28"/>
        </w:rPr>
      </w:pPr>
      <w:r>
        <w:rPr>
          <w:rFonts w:ascii="仿宋_GB2312" w:eastAsia="仿宋_GB2312" w:hint="eastAsia"/>
          <w:sz w:val="28"/>
          <w:szCs w:val="28"/>
        </w:rPr>
        <w:t>14.谈判报价</w:t>
      </w:r>
    </w:p>
    <w:p>
      <w:pPr>
        <w:snapToGrid w:val="0"/>
        <w:spacing w:line="560" w:lineRule="atLeast"/>
        <w:rPr>
          <w:rFonts w:ascii="仿宋_GB2312" w:eastAsia="仿宋_GB2312"/>
          <w:sz w:val="28"/>
          <w:szCs w:val="28"/>
        </w:rPr>
      </w:pPr>
      <w:r>
        <w:rPr>
          <w:rFonts w:ascii="仿宋_GB2312" w:eastAsia="仿宋_GB2312" w:hint="eastAsia"/>
          <w:sz w:val="28"/>
          <w:szCs w:val="28"/>
        </w:rPr>
        <w:t>14.1供应商需在“安阳市政府采购投标文件编制系统”中填写分项报价及开标一览表，填写的分项报价及开标一览表为供应商响应文件的一部分，本次谈判二轮报价，二轮报价即最终报价，各供应商在规定时间内及时报价，注意电子平台信息。</w:t>
      </w:r>
    </w:p>
    <w:p>
      <w:pPr>
        <w:snapToGrid w:val="0"/>
        <w:spacing w:line="560" w:lineRule="atLeast"/>
        <w:rPr>
          <w:rFonts w:ascii="仿宋_GB2312" w:eastAsia="仿宋_GB2312"/>
          <w:sz w:val="28"/>
          <w:szCs w:val="28"/>
        </w:rPr>
      </w:pPr>
      <w:r>
        <w:rPr>
          <w:rFonts w:ascii="仿宋_GB2312" w:eastAsia="仿宋_GB2312" w:hint="eastAsia"/>
          <w:sz w:val="28"/>
          <w:szCs w:val="28"/>
        </w:rPr>
        <w:t>14.2供应商的报价</w:t>
      </w:r>
      <w:r>
        <w:rPr>
          <w:rFonts w:ascii="仿宋_GB2312" w:eastAsia="仿宋_GB2312" w:hint="eastAsia"/>
          <w:sz w:val="28"/>
          <w:szCs w:val="28"/>
          <w:lang w:val="en-US" w:eastAsia="zh-CN"/>
        </w:rPr>
        <w:t>包含人工费、取样费、检验费、鉴定费、相关税款、保险费、知识产权（如有）、所涉货物包装、专用工具价、技术服务费等与采购项目（标段（包））相关的、必须的款项及费用（包括未列明而完成交验所必须的所有费用、材料、工具、设施）。成交价格在成交合同范围内固定不变。</w:t>
      </w:r>
    </w:p>
    <w:p>
      <w:pPr>
        <w:snapToGrid w:val="0"/>
        <w:spacing w:line="560" w:lineRule="atLeast"/>
        <w:rPr>
          <w:rFonts w:ascii="仿宋_GB2312" w:eastAsia="仿宋_GB2312"/>
          <w:sz w:val="28"/>
          <w:szCs w:val="28"/>
        </w:rPr>
      </w:pPr>
      <w:r>
        <w:rPr>
          <w:rFonts w:ascii="仿宋_GB2312" w:eastAsia="仿宋_GB2312" w:hint="eastAsia"/>
          <w:sz w:val="28"/>
          <w:szCs w:val="28"/>
        </w:rPr>
        <w:t>14.3供应商不得对本项目进行分别响应，不得将采购文件规定的同一包号中的内容拆开响应。</w:t>
      </w:r>
    </w:p>
    <w:p>
      <w:pPr>
        <w:spacing w:line="360" w:lineRule="auto"/>
        <w:rPr>
          <w:rFonts w:ascii="仿宋_GB2312" w:eastAsia="仿宋_GB2312"/>
          <w:sz w:val="28"/>
          <w:szCs w:val="28"/>
          <w:highlight w:val="none"/>
        </w:rPr>
      </w:pPr>
      <w:r>
        <w:rPr>
          <w:rFonts w:ascii="仿宋_GB2312" w:eastAsia="仿宋_GB2312" w:hint="eastAsia"/>
          <w:sz w:val="28"/>
          <w:szCs w:val="28"/>
          <w:highlight w:val="none"/>
        </w:rPr>
        <w:t>15</w:t>
      </w:r>
      <w:r>
        <w:rPr>
          <w:rFonts w:ascii="仿宋_GB2312" w:eastAsia="仿宋_GB2312" w:hint="eastAsia"/>
          <w:sz w:val="28"/>
          <w:szCs w:val="28"/>
          <w:highlight w:val="none"/>
          <w:lang w:val="en-US" w:eastAsia="zh-CN"/>
        </w:rPr>
        <w:t>.</w:t>
      </w:r>
      <w:r>
        <w:rPr>
          <w:rFonts w:ascii="仿宋_GB2312" w:eastAsia="仿宋_GB2312" w:hint="eastAsia"/>
          <w:sz w:val="28"/>
          <w:szCs w:val="28"/>
          <w:highlight w:val="none"/>
        </w:rPr>
        <w:t>依据河南省财政厅《关于优化政府采购营商环境有关问题的通知》（豫财购〔2019〕4号）文件要求，本项目以投标承诺函的形式替代投标保证金，供应商按附件格式进行投标承诺，违背承诺的将承担相应的法律责任及违约责任。</w:t>
      </w:r>
    </w:p>
    <w:p>
      <w:pPr>
        <w:snapToGrid w:val="0"/>
        <w:spacing w:line="560" w:lineRule="atLeast"/>
        <w:rPr>
          <w:rFonts w:ascii="仿宋_GB2312" w:eastAsia="仿宋_GB2312"/>
          <w:sz w:val="28"/>
          <w:szCs w:val="28"/>
          <w:highlight w:val="none"/>
        </w:rPr>
      </w:pPr>
      <w:r>
        <w:rPr>
          <w:rFonts w:ascii="仿宋_GB2312" w:eastAsia="仿宋_GB2312" w:hint="eastAsia"/>
          <w:sz w:val="28"/>
          <w:szCs w:val="28"/>
          <w:highlight w:val="none"/>
        </w:rPr>
        <w:t>16.响应有效期</w:t>
      </w:r>
    </w:p>
    <w:p>
      <w:pPr>
        <w:snapToGrid w:val="0"/>
        <w:spacing w:line="560" w:lineRule="atLeast"/>
        <w:rPr>
          <w:rFonts w:ascii="仿宋_GB2312" w:eastAsia="仿宋_GB2312"/>
          <w:sz w:val="28"/>
          <w:szCs w:val="28"/>
          <w:highlight w:val="none"/>
        </w:rPr>
      </w:pPr>
      <w:r>
        <w:rPr>
          <w:rFonts w:ascii="仿宋_GB2312" w:eastAsia="仿宋_GB2312" w:hint="eastAsia"/>
          <w:sz w:val="28"/>
          <w:szCs w:val="28"/>
          <w:highlight w:val="none"/>
        </w:rPr>
        <w:t>16.1响应文件从提交响应文件的截止之日起，有效期为90日。</w:t>
      </w:r>
    </w:p>
    <w:p>
      <w:pPr>
        <w:snapToGrid w:val="0"/>
        <w:spacing w:line="560" w:lineRule="atLeast"/>
        <w:rPr>
          <w:rFonts w:ascii="仿宋_GB2312" w:eastAsia="仿宋_GB2312"/>
          <w:sz w:val="28"/>
          <w:szCs w:val="28"/>
        </w:rPr>
      </w:pPr>
      <w:r>
        <w:rPr>
          <w:rFonts w:ascii="仿宋_GB2312" w:eastAsia="仿宋_GB2312" w:hint="eastAsia"/>
          <w:sz w:val="28"/>
          <w:szCs w:val="28"/>
        </w:rPr>
        <w:t>17.响应文件的签署及规定</w:t>
      </w:r>
    </w:p>
    <w:p>
      <w:pPr>
        <w:snapToGrid w:val="0"/>
        <w:spacing w:line="560" w:lineRule="atLeast"/>
        <w:rPr>
          <w:rFonts w:ascii="仿宋_GB2312" w:eastAsia="仿宋_GB2312"/>
          <w:sz w:val="28"/>
          <w:szCs w:val="28"/>
        </w:rPr>
      </w:pPr>
      <w:r>
        <w:rPr>
          <w:rFonts w:ascii="仿宋_GB2312" w:eastAsia="仿宋_GB2312" w:hint="eastAsia"/>
          <w:sz w:val="28"/>
          <w:szCs w:val="28"/>
        </w:rPr>
        <w:t>17.1响应文件应按采购文件相关要求（含格式上标注的要求）使用供应商企业数字证书和供应商法定代表人（经营者）数字证书进行签名并密封。没有使用供应商企业数字证书和供应商法定代表人（经营者）数字证书进行签名并密封的响应文件，属于未按照采购文件要求进行签署。</w:t>
      </w:r>
    </w:p>
    <w:p>
      <w:pPr>
        <w:snapToGrid w:val="0"/>
        <w:spacing w:line="560" w:lineRule="atLeast"/>
        <w:rPr>
          <w:rFonts w:ascii="仿宋_GB2312" w:eastAsia="仿宋_GB2312"/>
          <w:sz w:val="28"/>
          <w:szCs w:val="28"/>
        </w:rPr>
      </w:pPr>
      <w:r>
        <w:rPr>
          <w:rFonts w:ascii="仿宋_GB2312" w:eastAsia="仿宋_GB2312" w:hint="eastAsia"/>
          <w:sz w:val="28"/>
          <w:szCs w:val="28"/>
        </w:rPr>
        <w:t>17.2根据《中华人民共和国电子签名法》规定，可靠的电子签名与手写签名或者盖章具有同等的法律效力。本次采购活动中，供应商使用有效的企业数字证书对响应文件进行签章与加盖企业公章具有同等法律效力；供应商法定代表人（经营者）使用有效的个人数字证书对响应文件进行签名与法人签名具有同等法律效力。</w:t>
      </w:r>
    </w:p>
    <w:p>
      <w:pPr>
        <w:snapToGrid w:val="0"/>
        <w:spacing w:line="560" w:lineRule="atLeast"/>
        <w:rPr>
          <w:rFonts w:ascii="仿宋_GB2312" w:eastAsia="仿宋_GB2312"/>
          <w:sz w:val="28"/>
          <w:szCs w:val="28"/>
        </w:rPr>
      </w:pPr>
      <w:r>
        <w:rPr>
          <w:rFonts w:ascii="仿宋_GB2312" w:eastAsia="仿宋_GB2312" w:hint="eastAsia"/>
          <w:sz w:val="28"/>
          <w:szCs w:val="28"/>
        </w:rPr>
        <w:t>17.3电报、电话、传真、电子邮件形式的递交概不接受。</w:t>
      </w:r>
    </w:p>
    <w:p>
      <w:pPr>
        <w:snapToGrid w:val="0"/>
        <w:spacing w:line="560" w:lineRule="atLeast"/>
        <w:rPr>
          <w:rFonts w:ascii="仿宋_GB2312" w:eastAsia="仿宋_GB2312"/>
          <w:sz w:val="28"/>
          <w:szCs w:val="28"/>
        </w:rPr>
      </w:pPr>
      <w:r>
        <w:rPr>
          <w:rFonts w:ascii="仿宋_GB2312" w:eastAsia="仿宋_GB2312" w:hint="eastAsia"/>
          <w:sz w:val="28"/>
          <w:szCs w:val="28"/>
        </w:rPr>
        <w:t>18.响应文件的密封和标记</w:t>
      </w:r>
    </w:p>
    <w:p>
      <w:pPr>
        <w:snapToGrid w:val="0"/>
        <w:spacing w:line="560" w:lineRule="atLeast"/>
        <w:rPr>
          <w:rFonts w:ascii="宋体" w:hAnsi="宋体"/>
          <w:b/>
          <w:sz w:val="36"/>
          <w:szCs w:val="36"/>
        </w:rPr>
      </w:pPr>
      <w:r>
        <w:rPr>
          <w:rFonts w:ascii="仿宋_GB2312" w:eastAsia="仿宋_GB2312" w:hint="eastAsia"/>
          <w:sz w:val="28"/>
          <w:szCs w:val="28"/>
        </w:rPr>
        <w:t>18.1供应商使用供应商企业数字证书和供应商法定代表人（经营者）数字证书对响应文件进行签名并密封，按照采购文件附件格式要求对响应文件加盖供应商电子签章和法定代表人（经营者）电子签名。</w:t>
      </w:r>
    </w:p>
    <w:p>
      <w:pPr>
        <w:snapToGrid w:val="0"/>
        <w:spacing w:before="142" w:beforeLines="50" w:after="142" w:afterLines="50" w:line="560" w:lineRule="atLeast"/>
        <w:ind w:firstLine="556"/>
        <w:jc w:val="center"/>
        <w:textAlignment w:val="top"/>
        <w:rPr>
          <w:rFonts w:ascii="宋体" w:hAnsi="宋体"/>
          <w:b/>
          <w:sz w:val="36"/>
          <w:szCs w:val="36"/>
        </w:rPr>
      </w:pPr>
      <w:r>
        <w:rPr>
          <w:rFonts w:ascii="宋体" w:hAnsi="宋体" w:hint="eastAsia"/>
          <w:b/>
          <w:sz w:val="36"/>
          <w:szCs w:val="36"/>
        </w:rPr>
        <w:t>四、响应文件的递交</w:t>
      </w:r>
    </w:p>
    <w:p>
      <w:pPr>
        <w:snapToGrid w:val="0"/>
        <w:spacing w:line="560" w:lineRule="atLeast"/>
        <w:rPr>
          <w:rFonts w:ascii="仿宋_GB2312" w:eastAsia="仿宋_GB2312"/>
          <w:sz w:val="28"/>
          <w:szCs w:val="28"/>
        </w:rPr>
      </w:pPr>
      <w:r>
        <w:rPr>
          <w:rFonts w:ascii="仿宋_GB2312" w:eastAsia="仿宋_GB2312" w:hint="eastAsia"/>
          <w:sz w:val="28"/>
          <w:szCs w:val="28"/>
        </w:rPr>
        <w:t>19.响应文件的递交</w:t>
      </w:r>
    </w:p>
    <w:p>
      <w:pPr>
        <w:snapToGrid w:val="0"/>
        <w:spacing w:line="560" w:lineRule="atLeast"/>
        <w:rPr>
          <w:rFonts w:ascii="仿宋_GB2312" w:eastAsia="仿宋_GB2312"/>
          <w:sz w:val="28"/>
          <w:szCs w:val="28"/>
        </w:rPr>
      </w:pPr>
      <w:r>
        <w:rPr>
          <w:rFonts w:ascii="仿宋_GB2312" w:eastAsia="仿宋_GB2312" w:hint="eastAsia"/>
          <w:sz w:val="28"/>
          <w:szCs w:val="28"/>
        </w:rPr>
        <w:t>19.1供应商须在响应文件递交截止时间前制作并提交密封电子响应文件。密封的电子响应文件,应在响应文件递交截止时间前通过安阳市公共资源交易中心电子交易平台内上传，供应商应在上传时认真检查上传响应文件是否完整、正确。</w:t>
      </w:r>
    </w:p>
    <w:p>
      <w:pPr>
        <w:snapToGrid w:val="0"/>
        <w:spacing w:line="560" w:lineRule="atLeast"/>
        <w:rPr>
          <w:rFonts w:ascii="仿宋_GB2312" w:eastAsia="仿宋_GB2312"/>
          <w:sz w:val="28"/>
          <w:szCs w:val="28"/>
        </w:rPr>
      </w:pPr>
      <w:r>
        <w:rPr>
          <w:rFonts w:ascii="仿宋_GB2312" w:eastAsia="仿宋_GB2312" w:hint="eastAsia"/>
          <w:sz w:val="28"/>
          <w:szCs w:val="28"/>
        </w:rPr>
        <w:t>20.迟交的响应文件</w:t>
      </w:r>
    </w:p>
    <w:p>
      <w:pPr>
        <w:snapToGrid w:val="0"/>
        <w:spacing w:line="560" w:lineRule="atLeast"/>
        <w:rPr>
          <w:rFonts w:ascii="仿宋_GB2312" w:eastAsia="仿宋_GB2312"/>
          <w:sz w:val="28"/>
          <w:szCs w:val="28"/>
        </w:rPr>
      </w:pPr>
      <w:r>
        <w:rPr>
          <w:rFonts w:ascii="仿宋_GB2312" w:eastAsia="仿宋_GB2312" w:hint="eastAsia"/>
          <w:sz w:val="28"/>
          <w:szCs w:val="28"/>
        </w:rPr>
        <w:t>20.1提交响应文件截止时间后，电子响应文件将无法通过网上投标系统进行上传，逾期未上传的电子响应文件，采购人将不予受理。</w:t>
      </w:r>
    </w:p>
    <w:p>
      <w:pPr>
        <w:snapToGrid w:val="0"/>
        <w:spacing w:line="560" w:lineRule="atLeas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1.响应文件的修改和撤回</w:t>
      </w:r>
    </w:p>
    <w:p>
      <w:pPr>
        <w:snapToGrid w:val="0"/>
        <w:spacing w:line="560" w:lineRule="atLeast"/>
        <w:rPr>
          <w:rFonts w:ascii="仿宋_GB2312" w:eastAsia="仿宋_GB2312"/>
          <w:sz w:val="28"/>
          <w:szCs w:val="28"/>
        </w:rPr>
      </w:pPr>
      <w:r>
        <w:rPr>
          <w:rFonts w:ascii="仿宋_GB2312" w:eastAsia="仿宋_GB2312" w:hint="eastAsia"/>
          <w:sz w:val="28"/>
          <w:szCs w:val="28"/>
        </w:rPr>
        <w:t>21.1供应商于提交响应文件截止时间前如对响应文件进行补充、修改，可以上传新的响应文件进行覆盖。在提交响应文件截止时间后，供应商不得再要求修改或撤回其响应文件。</w:t>
      </w:r>
    </w:p>
    <w:p>
      <w:pPr>
        <w:snapToGrid w:val="0"/>
        <w:spacing w:line="560" w:lineRule="atLeast"/>
        <w:rPr>
          <w:rFonts w:ascii="仿宋_GB2312" w:eastAsia="仿宋_GB2312"/>
          <w:sz w:val="28"/>
          <w:szCs w:val="28"/>
        </w:rPr>
      </w:pPr>
      <w:r>
        <w:rPr>
          <w:rFonts w:ascii="仿宋_GB2312" w:eastAsia="仿宋_GB2312" w:hint="eastAsia"/>
          <w:sz w:val="28"/>
          <w:szCs w:val="28"/>
        </w:rPr>
        <w:t>21.2供应商如撤回响应文件，应及时书面通知采购代理机构进行办理。</w:t>
      </w:r>
    </w:p>
    <w:p>
      <w:pPr>
        <w:snapToGrid w:val="0"/>
        <w:spacing w:before="142" w:beforeLines="50" w:after="142" w:afterLines="50" w:line="560" w:lineRule="atLeast"/>
        <w:ind w:firstLine="556"/>
        <w:jc w:val="center"/>
        <w:rPr>
          <w:rFonts w:ascii="仿宋_GB2312" w:eastAsia="仿宋_GB2312"/>
          <w:b/>
          <w:sz w:val="32"/>
          <w:szCs w:val="32"/>
        </w:rPr>
      </w:pPr>
      <w:r>
        <w:rPr>
          <w:rFonts w:ascii="宋体" w:hAnsi="宋体" w:hint="eastAsia"/>
          <w:b/>
          <w:sz w:val="36"/>
          <w:szCs w:val="36"/>
        </w:rPr>
        <w:t>五、开标</w:t>
      </w:r>
    </w:p>
    <w:p>
      <w:pPr>
        <w:snapToGrid w:val="0"/>
        <w:spacing w:line="560" w:lineRule="atLeast"/>
        <w:rPr>
          <w:rFonts w:ascii="仿宋_GB2312" w:eastAsia="仿宋_GB2312"/>
          <w:sz w:val="28"/>
          <w:szCs w:val="28"/>
        </w:rPr>
      </w:pPr>
      <w:r>
        <w:rPr>
          <w:rFonts w:ascii="仿宋_GB2312" w:eastAsia="仿宋_GB2312" w:hint="eastAsia"/>
          <w:sz w:val="28"/>
          <w:szCs w:val="28"/>
        </w:rPr>
        <w:t>22.开标</w:t>
      </w:r>
    </w:p>
    <w:p>
      <w:pPr>
        <w:snapToGrid w:val="0"/>
        <w:spacing w:line="560" w:lineRule="atLeast"/>
        <w:rPr>
          <w:rFonts w:ascii="仿宋_GB2312" w:eastAsia="仿宋_GB2312"/>
          <w:sz w:val="28"/>
          <w:szCs w:val="28"/>
        </w:rPr>
      </w:pPr>
      <w:r>
        <w:rPr>
          <w:rFonts w:ascii="仿宋_GB2312" w:eastAsia="仿宋_GB2312" w:hint="eastAsia"/>
          <w:sz w:val="28"/>
          <w:szCs w:val="28"/>
        </w:rPr>
        <w:t>22.1采购人和采购代理机构将在采购文件规定的时间和地点组织开标。供应商无需到安阳市公共资源交易中心现场参加开标会议。供应商应当在提交响应文件截止时间前，登录系统，在线准时参加开标活动并在规定时间内进行文件解密、答疑澄清、二轮报价等。</w:t>
      </w:r>
    </w:p>
    <w:p>
      <w:pPr>
        <w:snapToGrid w:val="0"/>
        <w:spacing w:line="560" w:lineRule="atLeast"/>
        <w:rPr>
          <w:rFonts w:ascii="仿宋_GB2312" w:eastAsia="仿宋_GB2312"/>
          <w:sz w:val="28"/>
          <w:szCs w:val="28"/>
        </w:rPr>
      </w:pPr>
      <w:r>
        <w:rPr>
          <w:rFonts w:ascii="仿宋_GB2312" w:eastAsia="仿宋_GB2312" w:hint="eastAsia"/>
          <w:sz w:val="28"/>
          <w:szCs w:val="28"/>
        </w:rPr>
        <w:t>22.2开标前，采购人和采购代理机构将会让供应商对电子响应文件密封情况进行检查，经确认无误后开标。</w:t>
      </w:r>
    </w:p>
    <w:p>
      <w:pPr>
        <w:snapToGrid w:val="0"/>
        <w:spacing w:line="560" w:lineRule="atLeast"/>
        <w:rPr>
          <w:rFonts w:ascii="仿宋_GB2312" w:eastAsia="仿宋_GB2312"/>
          <w:sz w:val="28"/>
          <w:szCs w:val="28"/>
        </w:rPr>
      </w:pPr>
      <w:r>
        <w:rPr>
          <w:rFonts w:ascii="仿宋_GB2312" w:eastAsia="仿宋_GB2312" w:hint="eastAsia"/>
          <w:sz w:val="28"/>
          <w:szCs w:val="28"/>
        </w:rPr>
        <w:t>22.3响应文件解密，采购人、采购代理机构将会要求供应商在规定时间内完成对本单位的密封响应文件进行解密。由于供应商的自身原因，在规定时间内解密不成功的，作为无效处理。</w:t>
      </w:r>
    </w:p>
    <w:p>
      <w:pPr>
        <w:snapToGrid w:val="0"/>
        <w:spacing w:line="560" w:lineRule="atLeast"/>
        <w:rPr>
          <w:rFonts w:ascii="仿宋_GB2312" w:eastAsia="仿宋_GB2312"/>
          <w:sz w:val="28"/>
          <w:szCs w:val="28"/>
        </w:rPr>
      </w:pPr>
      <w:r>
        <w:rPr>
          <w:rFonts w:ascii="仿宋_GB2312" w:eastAsia="仿宋_GB2312" w:hint="eastAsia"/>
          <w:sz w:val="28"/>
          <w:szCs w:val="28"/>
        </w:rPr>
        <w:t>22.4解密完成后，供应商的报价将在“安阳市公共资源交易中心电子交易平台”系统界面上显示。</w:t>
      </w:r>
    </w:p>
    <w:p>
      <w:pPr>
        <w:snapToGrid w:val="0"/>
        <w:spacing w:line="560" w:lineRule="atLeast"/>
        <w:rPr>
          <w:rFonts w:ascii="仿宋_GB2312" w:eastAsia="仿宋_GB2312"/>
          <w:sz w:val="28"/>
          <w:szCs w:val="28"/>
        </w:rPr>
      </w:pPr>
      <w:r>
        <w:rPr>
          <w:rFonts w:ascii="仿宋_GB2312" w:eastAsia="仿宋_GB2312" w:hint="eastAsia"/>
          <w:sz w:val="28"/>
          <w:szCs w:val="28"/>
        </w:rPr>
        <w:t>22.5供应商代表对开标过程和开标记录有疑义，以及认为采购人、采购代理机构相关工作人员有需要回避的情形的，应在“安阳市公共资源交易中心电子交易平台”系统中提出询问或者回避申请。采购人、采购代理机构对供应商代表提出的询问或者回避申请应当及时处理。</w:t>
      </w:r>
    </w:p>
    <w:p>
      <w:pPr>
        <w:snapToGrid w:val="0"/>
        <w:spacing w:line="560" w:lineRule="atLeast"/>
        <w:rPr>
          <w:rFonts w:ascii="仿宋_GB2312" w:eastAsia="仿宋_GB2312"/>
          <w:sz w:val="28"/>
          <w:szCs w:val="28"/>
        </w:rPr>
      </w:pPr>
      <w:r>
        <w:rPr>
          <w:rFonts w:ascii="仿宋_GB2312" w:eastAsia="仿宋_GB2312" w:hint="eastAsia"/>
          <w:sz w:val="28"/>
          <w:szCs w:val="28"/>
        </w:rPr>
        <w:t>22.6供应商未参加开标的，视同认可开标结果。</w:t>
      </w:r>
    </w:p>
    <w:p>
      <w:pPr>
        <w:snapToGrid w:val="0"/>
        <w:spacing w:before="142" w:beforeLines="50" w:after="142" w:afterLines="50" w:line="560" w:lineRule="atLeast"/>
        <w:ind w:firstLine="556"/>
        <w:jc w:val="center"/>
        <w:rPr>
          <w:rFonts w:ascii="仿宋_GB2312" w:eastAsia="仿宋_GB2312"/>
          <w:b/>
          <w:sz w:val="32"/>
          <w:szCs w:val="32"/>
        </w:rPr>
      </w:pPr>
      <w:r>
        <w:rPr>
          <w:rFonts w:ascii="宋体" w:hAnsi="宋体" w:hint="eastAsia"/>
          <w:b/>
          <w:sz w:val="36"/>
          <w:szCs w:val="36"/>
        </w:rPr>
        <w:t>六、评审</w:t>
      </w:r>
    </w:p>
    <w:p>
      <w:pPr>
        <w:snapToGrid w:val="0"/>
        <w:spacing w:line="560" w:lineRule="atLeast"/>
        <w:rPr>
          <w:rFonts w:ascii="仿宋_GB2312" w:eastAsia="仿宋_GB2312"/>
          <w:sz w:val="28"/>
          <w:szCs w:val="28"/>
        </w:rPr>
      </w:pPr>
      <w:r>
        <w:rPr>
          <w:rFonts w:ascii="仿宋_GB2312" w:eastAsia="仿宋_GB2312" w:hint="eastAsia"/>
          <w:sz w:val="28"/>
          <w:szCs w:val="28"/>
        </w:rPr>
        <w:t>23.谈判小组</w:t>
      </w:r>
    </w:p>
    <w:p>
      <w:pPr>
        <w:snapToGrid w:val="0"/>
        <w:spacing w:line="560" w:lineRule="atLeast"/>
        <w:rPr>
          <w:rFonts w:ascii="仿宋_GB2312" w:eastAsia="仿宋_GB2312"/>
          <w:sz w:val="28"/>
          <w:szCs w:val="28"/>
          <w:highlight w:val="none"/>
        </w:rPr>
      </w:pPr>
      <w:r>
        <w:rPr>
          <w:rFonts w:ascii="仿宋_GB2312" w:eastAsia="仿宋_GB2312" w:hint="eastAsia"/>
          <w:sz w:val="28"/>
          <w:szCs w:val="28"/>
          <w:highlight w:val="none"/>
        </w:rPr>
        <w:t>23.1依据《中华人民共和国政府采购法》及有关法规组建谈判小组，谈判小组由</w:t>
      </w:r>
      <w:r>
        <w:rPr>
          <w:rFonts w:ascii="仿宋_GB2312" w:eastAsia="仿宋_GB2312" w:hint="eastAsia"/>
          <w:sz w:val="28"/>
          <w:szCs w:val="28"/>
          <w:highlight w:val="none"/>
          <w:lang w:val="en-US" w:eastAsia="zh-CN"/>
        </w:rPr>
        <w:t>3名</w:t>
      </w:r>
      <w:r>
        <w:rPr>
          <w:rFonts w:ascii="仿宋_GB2312" w:eastAsia="仿宋_GB2312" w:hint="eastAsia"/>
          <w:sz w:val="28"/>
          <w:szCs w:val="28"/>
          <w:highlight w:val="none"/>
        </w:rPr>
        <w:t>专家组成，其中</w:t>
      </w:r>
      <w:r>
        <w:rPr>
          <w:rFonts w:ascii="仿宋_GB2312" w:eastAsia="仿宋_GB2312" w:hint="eastAsia"/>
          <w:sz w:val="28"/>
          <w:szCs w:val="28"/>
          <w:highlight w:val="none"/>
          <w:lang w:val="en-US" w:eastAsia="zh-CN"/>
        </w:rPr>
        <w:t>技术</w:t>
      </w:r>
      <w:r>
        <w:rPr>
          <w:rFonts w:ascii="仿宋_GB2312" w:eastAsia="仿宋_GB2312" w:hint="eastAsia"/>
          <w:sz w:val="28"/>
          <w:szCs w:val="28"/>
          <w:highlight w:val="none"/>
        </w:rPr>
        <w:t>评审专家人数不少于谈判小组成员总数的2/3，评审专家是在监督部门监督下从政府采购专家库中随机抽取产生。</w:t>
      </w:r>
    </w:p>
    <w:p>
      <w:pPr>
        <w:snapToGrid w:val="0"/>
        <w:spacing w:line="560" w:lineRule="atLeast"/>
        <w:rPr>
          <w:rFonts w:ascii="仿宋_GB2312" w:eastAsia="仿宋_GB2312"/>
          <w:sz w:val="28"/>
          <w:szCs w:val="28"/>
        </w:rPr>
      </w:pPr>
      <w:r>
        <w:rPr>
          <w:rFonts w:ascii="仿宋_GB2312" w:eastAsia="仿宋_GB2312" w:hint="eastAsia"/>
          <w:sz w:val="28"/>
          <w:szCs w:val="28"/>
        </w:rPr>
        <w:t>24.评审原则</w:t>
      </w:r>
    </w:p>
    <w:p>
      <w:pPr>
        <w:snapToGrid w:val="0"/>
        <w:spacing w:line="560" w:lineRule="atLeast"/>
        <w:rPr>
          <w:rFonts w:ascii="仿宋_GB2312" w:eastAsia="仿宋_GB2312"/>
          <w:sz w:val="28"/>
          <w:szCs w:val="28"/>
        </w:rPr>
      </w:pPr>
      <w:r>
        <w:rPr>
          <w:rFonts w:ascii="仿宋_GB2312" w:eastAsia="仿宋_GB2312" w:hint="eastAsia"/>
          <w:sz w:val="28"/>
          <w:szCs w:val="28"/>
        </w:rPr>
        <w:t>24.1 坚持客观、公正、审慎地原则对待所有供应商。</w:t>
      </w:r>
    </w:p>
    <w:p>
      <w:pPr>
        <w:snapToGrid w:val="0"/>
        <w:spacing w:line="560" w:lineRule="atLeast"/>
        <w:rPr>
          <w:rFonts w:ascii="仿宋_GB2312" w:eastAsia="仿宋_GB2312"/>
          <w:sz w:val="28"/>
          <w:szCs w:val="28"/>
        </w:rPr>
      </w:pPr>
      <w:r>
        <w:rPr>
          <w:rFonts w:ascii="仿宋_GB2312" w:eastAsia="仿宋_GB2312" w:hint="eastAsia"/>
          <w:sz w:val="28"/>
          <w:szCs w:val="28"/>
        </w:rPr>
        <w:t>24.2 按照同一评审程序及方法审查所有供应商的响应文件。</w:t>
      </w:r>
    </w:p>
    <w:p>
      <w:pPr>
        <w:snapToGrid w:val="0"/>
        <w:spacing w:line="560" w:lineRule="atLeast"/>
        <w:rPr>
          <w:rFonts w:ascii="仿宋_GB2312" w:eastAsia="仿宋_GB2312"/>
          <w:sz w:val="28"/>
          <w:szCs w:val="28"/>
        </w:rPr>
      </w:pPr>
      <w:r>
        <w:rPr>
          <w:rFonts w:ascii="仿宋_GB2312" w:eastAsia="仿宋_GB2312" w:hint="eastAsia"/>
          <w:sz w:val="28"/>
          <w:szCs w:val="28"/>
        </w:rPr>
        <w:t>25. 评审方法</w:t>
      </w:r>
    </w:p>
    <w:p>
      <w:pPr>
        <w:snapToGrid w:val="0"/>
        <w:spacing w:line="560" w:lineRule="atLeast"/>
        <w:rPr>
          <w:rFonts w:ascii="仿宋_GB2312" w:eastAsia="仿宋_GB2312"/>
          <w:sz w:val="28"/>
          <w:szCs w:val="28"/>
        </w:rPr>
      </w:pPr>
      <w:r>
        <w:rPr>
          <w:rFonts w:ascii="仿宋_GB2312" w:eastAsia="仿宋_GB2312" w:hint="eastAsia"/>
          <w:sz w:val="28"/>
          <w:szCs w:val="28"/>
        </w:rPr>
        <w:t>25.1本项目采用最低评标价法。（是指响应文件满足采购文件全部实质性要求，且最终报价最低的供应商为成交供应商。）</w:t>
      </w:r>
    </w:p>
    <w:p>
      <w:pPr>
        <w:snapToGrid w:val="0"/>
        <w:spacing w:line="560" w:lineRule="atLeast"/>
        <w:rPr>
          <w:rFonts w:ascii="仿宋_GB2312" w:eastAsia="仿宋_GB2312"/>
          <w:sz w:val="28"/>
          <w:szCs w:val="28"/>
        </w:rPr>
      </w:pPr>
      <w:r>
        <w:rPr>
          <w:rFonts w:ascii="仿宋_GB2312" w:eastAsia="仿宋_GB2312" w:hint="eastAsia"/>
          <w:sz w:val="28"/>
          <w:szCs w:val="28"/>
        </w:rPr>
        <w:t>26.评审程序及标准</w:t>
      </w:r>
    </w:p>
    <w:p>
      <w:pPr>
        <w:snapToGrid w:val="0"/>
        <w:spacing w:line="560" w:lineRule="atLeast"/>
        <w:rPr>
          <w:rFonts w:ascii="仿宋_GB2312" w:eastAsia="仿宋_GB2312"/>
          <w:sz w:val="28"/>
          <w:szCs w:val="28"/>
        </w:rPr>
      </w:pPr>
      <w:r>
        <w:rPr>
          <w:rFonts w:ascii="仿宋_GB2312" w:eastAsia="仿宋_GB2312" w:hint="eastAsia"/>
          <w:sz w:val="28"/>
          <w:szCs w:val="28"/>
        </w:rPr>
        <w:t>26.1确认采购文件：谈判小组发现采购文件存在歧义、重大缺陷导致评审工作无法进行，或者采购文件内容违反国家有关强制性规定的，应当停止评审工作，与采购人或者采购代理机构沟通并作书面记录。采购人或者采购代理机构确认后，将修改采购文件，重新组织采购活动。如采购文件不存在歧义、重大缺陷则继续进行。</w:t>
      </w:r>
    </w:p>
    <w:p>
      <w:pPr>
        <w:snapToGrid w:val="0"/>
        <w:spacing w:line="560" w:lineRule="atLeast"/>
        <w:rPr>
          <w:rFonts w:ascii="仿宋_GB2312" w:eastAsia="仿宋_GB2312"/>
          <w:sz w:val="28"/>
          <w:szCs w:val="28"/>
        </w:rPr>
      </w:pPr>
      <w:r>
        <w:rPr>
          <w:rFonts w:ascii="仿宋_GB2312" w:eastAsia="仿宋_GB2312" w:hint="eastAsia"/>
          <w:sz w:val="28"/>
          <w:szCs w:val="28"/>
        </w:rPr>
        <w:t>26.2资格性检查：开标结束后，谈判小组将依法对供应商的资格条件进行审查。通过资格审查并满足3家的供应商将进入下一环节。</w:t>
      </w:r>
      <w:r>
        <w:rPr>
          <w:rFonts w:ascii="仿宋_GB2312" w:eastAsia="仿宋_GB2312" w:hint="eastAsia"/>
          <w:sz w:val="28"/>
          <w:szCs w:val="28"/>
          <w:lang w:val="en-US" w:eastAsia="zh-CN"/>
        </w:rPr>
        <w:t>除</w:t>
      </w:r>
      <w:r>
        <w:rPr>
          <w:rFonts w:ascii="仿宋_GB2312" w:eastAsia="仿宋_GB2312" w:hint="eastAsia"/>
          <w:sz w:val="28"/>
          <w:szCs w:val="28"/>
        </w:rPr>
        <w:t>符合《政府采购非招标采购方式管理办法》第二十七条第二款规定的情形除外。</w:t>
      </w:r>
    </w:p>
    <w:p>
      <w:pPr>
        <w:snapToGrid w:val="0"/>
        <w:spacing w:line="560" w:lineRule="atLeast"/>
        <w:rPr>
          <w:rFonts w:ascii="仿宋_GB2312" w:eastAsia="仿宋_GB2312"/>
          <w:sz w:val="28"/>
          <w:szCs w:val="28"/>
        </w:rPr>
      </w:pPr>
      <w:r>
        <w:rPr>
          <w:rFonts w:ascii="仿宋_GB2312" w:eastAsia="仿宋_GB2312" w:hint="eastAsia"/>
          <w:sz w:val="28"/>
          <w:szCs w:val="28"/>
        </w:rPr>
        <w:t>26.3符合性检查：依据采购文件的规定，从响应文件的有效性、完整性和对采购文件的响应程度进行审查，以确定是否对采购文件的实质性要求作出响应。</w:t>
      </w:r>
    </w:p>
    <w:p>
      <w:pPr>
        <w:snapToGrid w:val="0"/>
        <w:spacing w:line="560" w:lineRule="atLeast"/>
        <w:rPr>
          <w:rFonts w:ascii="仿宋_GB2312" w:eastAsia="仿宋_GB2312"/>
          <w:sz w:val="28"/>
          <w:szCs w:val="28"/>
        </w:rPr>
      </w:pPr>
      <w:r>
        <w:rPr>
          <w:rFonts w:ascii="仿宋_GB2312" w:eastAsia="仿宋_GB2312" w:hint="eastAsia"/>
          <w:sz w:val="28"/>
          <w:szCs w:val="28"/>
        </w:rPr>
        <w:t>26.4供应商存在下列情况之一的，响应无效:</w:t>
      </w:r>
    </w:p>
    <w:p>
      <w:pPr>
        <w:snapToGrid w:val="0"/>
        <w:spacing w:line="560" w:lineRule="atLeast"/>
        <w:rPr>
          <w:rFonts w:ascii="仿宋_GB2312" w:eastAsia="仿宋_GB2312"/>
          <w:sz w:val="28"/>
          <w:szCs w:val="28"/>
        </w:rPr>
      </w:pPr>
      <w:r>
        <w:rPr>
          <w:rFonts w:ascii="仿宋_GB2312" w:eastAsia="仿宋_GB2312" w:hint="eastAsia"/>
          <w:sz w:val="28"/>
          <w:szCs w:val="28"/>
        </w:rPr>
        <w:t>(1)响应文件未按采购文件要求签署、盖章的；</w:t>
      </w:r>
    </w:p>
    <w:p>
      <w:pPr>
        <w:snapToGrid w:val="0"/>
        <w:spacing w:line="560" w:lineRule="atLeast"/>
        <w:rPr>
          <w:rFonts w:ascii="仿宋_GB2312" w:eastAsia="仿宋_GB2312"/>
          <w:sz w:val="28"/>
          <w:szCs w:val="28"/>
        </w:rPr>
      </w:pPr>
      <w:r>
        <w:rPr>
          <w:rFonts w:ascii="仿宋_GB2312" w:eastAsia="仿宋_GB2312" w:hint="eastAsia"/>
          <w:sz w:val="28"/>
          <w:szCs w:val="28"/>
        </w:rPr>
        <w:t>(2)不具备采购文件中规定的资格要求的；</w:t>
      </w:r>
    </w:p>
    <w:p>
      <w:pPr>
        <w:snapToGrid w:val="0"/>
        <w:spacing w:line="560" w:lineRule="atLeast"/>
        <w:rPr>
          <w:rFonts w:ascii="仿宋_GB2312" w:eastAsia="仿宋_GB2312"/>
          <w:sz w:val="28"/>
          <w:szCs w:val="28"/>
        </w:rPr>
      </w:pPr>
      <w:r>
        <w:rPr>
          <w:rFonts w:ascii="仿宋_GB2312" w:eastAsia="仿宋_GB2312" w:hint="eastAsia"/>
          <w:sz w:val="28"/>
          <w:szCs w:val="28"/>
        </w:rPr>
        <w:t>(3)最终报价超过采购文件中规定的</w:t>
      </w:r>
      <w:r>
        <w:rPr>
          <w:rFonts w:ascii="仿宋_GB2312" w:eastAsia="仿宋_GB2312" w:hint="eastAsia"/>
          <w:sz w:val="28"/>
          <w:szCs w:val="28"/>
          <w:lang w:val="en-US" w:eastAsia="zh-CN"/>
        </w:rPr>
        <w:t>单项最高限价</w:t>
      </w:r>
      <w:r>
        <w:rPr>
          <w:rFonts w:ascii="仿宋_GB2312" w:eastAsia="仿宋_GB2312" w:hint="eastAsia"/>
          <w:sz w:val="28"/>
          <w:szCs w:val="28"/>
        </w:rPr>
        <w:t>金额的</w:t>
      </w:r>
      <w:r>
        <w:rPr>
          <w:rFonts w:ascii="仿宋_GB2312" w:eastAsia="仿宋_GB2312" w:hint="eastAsia"/>
          <w:sz w:val="28"/>
          <w:szCs w:val="28"/>
          <w:lang w:val="en-US" w:eastAsia="zh-CN"/>
        </w:rPr>
        <w:t>或预算总金额的</w:t>
      </w:r>
      <w:r>
        <w:rPr>
          <w:rFonts w:ascii="仿宋_GB2312" w:eastAsia="仿宋_GB2312" w:hint="eastAsia"/>
          <w:sz w:val="28"/>
          <w:szCs w:val="28"/>
        </w:rPr>
        <w:t>；</w:t>
      </w:r>
    </w:p>
    <w:p>
      <w:pPr>
        <w:snapToGrid w:val="0"/>
        <w:spacing w:line="560" w:lineRule="atLeast"/>
        <w:rPr>
          <w:rFonts w:ascii="仿宋_GB2312" w:eastAsia="仿宋_GB2312"/>
          <w:sz w:val="28"/>
          <w:szCs w:val="28"/>
        </w:rPr>
      </w:pPr>
      <w:r>
        <w:rPr>
          <w:rFonts w:ascii="仿宋_GB2312" w:eastAsia="仿宋_GB2312" w:hint="eastAsia"/>
          <w:sz w:val="28"/>
          <w:szCs w:val="28"/>
        </w:rPr>
        <w:t>(4)响应文件含有采购人不能接受的附加条件或不符合国家强制性规定的;</w:t>
      </w:r>
    </w:p>
    <w:p>
      <w:pPr>
        <w:snapToGrid w:val="0"/>
        <w:spacing w:line="560" w:lineRule="atLeast"/>
        <w:rPr>
          <w:rFonts w:ascii="仿宋_GB2312" w:eastAsia="仿宋_GB2312"/>
          <w:sz w:val="28"/>
          <w:szCs w:val="28"/>
        </w:rPr>
      </w:pPr>
      <w:r>
        <w:rPr>
          <w:rFonts w:ascii="仿宋_GB2312" w:eastAsia="仿宋_GB2312" w:hint="eastAsia"/>
          <w:sz w:val="28"/>
          <w:szCs w:val="28"/>
        </w:rPr>
        <w:t>(5)响应文件没有对采购文件的实质性要求和条件作出实质性响应的；</w:t>
      </w:r>
    </w:p>
    <w:p>
      <w:pPr>
        <w:snapToGrid w:val="0"/>
        <w:spacing w:line="560" w:lineRule="atLeast"/>
        <w:rPr>
          <w:rFonts w:ascii="仿宋_GB2312" w:eastAsia="仿宋_GB2312"/>
          <w:sz w:val="28"/>
          <w:szCs w:val="28"/>
        </w:rPr>
      </w:pPr>
      <w:r>
        <w:rPr>
          <w:rFonts w:ascii="仿宋_GB2312" w:eastAsia="仿宋_GB2312" w:hint="eastAsia"/>
          <w:sz w:val="28"/>
          <w:szCs w:val="28"/>
        </w:rPr>
        <w:t>(6)供应商有串通、行贿等违法行为的；</w:t>
      </w:r>
    </w:p>
    <w:p>
      <w:pPr>
        <w:snapToGrid w:val="0"/>
        <w:spacing w:line="560" w:lineRule="atLeast"/>
        <w:rPr>
          <w:rFonts w:ascii="仿宋_GB2312" w:eastAsia="仿宋_GB2312"/>
          <w:sz w:val="28"/>
          <w:szCs w:val="28"/>
        </w:rPr>
      </w:pPr>
      <w:r>
        <w:rPr>
          <w:rFonts w:ascii="仿宋_GB2312" w:eastAsia="仿宋_GB2312" w:hint="eastAsia"/>
          <w:sz w:val="28"/>
          <w:szCs w:val="28"/>
        </w:rPr>
        <w:t>(7)法律、法规和采购文件规定的其他无效情形。</w:t>
      </w:r>
    </w:p>
    <w:p>
      <w:pPr>
        <w:snapToGrid w:val="0"/>
        <w:spacing w:line="560" w:lineRule="atLeast"/>
        <w:rPr>
          <w:rFonts w:ascii="仿宋_GB2312" w:eastAsia="仿宋_GB2312"/>
          <w:sz w:val="28"/>
          <w:szCs w:val="28"/>
        </w:rPr>
      </w:pPr>
      <w:r>
        <w:rPr>
          <w:rFonts w:ascii="仿宋_GB2312" w:eastAsia="仿宋_GB2312" w:hint="eastAsia"/>
          <w:sz w:val="28"/>
          <w:szCs w:val="28"/>
        </w:rPr>
        <w:t xml:space="preserve">26.5出现下列情形之一的，应予终止谈判采购活动： </w:t>
      </w:r>
    </w:p>
    <w:p>
      <w:pPr>
        <w:snapToGrid w:val="0"/>
        <w:spacing w:line="560" w:lineRule="atLeas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因情况变化，不再符合规定的竞争性谈判采购方式适用情形的</w:t>
      </w:r>
      <w:r>
        <w:rPr>
          <w:rFonts w:ascii="仿宋_GB2312" w:eastAsia="仿宋_GB2312" w:hint="eastAsia"/>
          <w:sz w:val="28"/>
          <w:szCs w:val="28"/>
        </w:rPr>
        <w:t xml:space="preserve">； </w:t>
      </w:r>
    </w:p>
    <w:p>
      <w:pPr>
        <w:snapToGrid w:val="0"/>
        <w:spacing w:line="560" w:lineRule="atLeast"/>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出现影响采购公正的违法、违规行为的</w:t>
      </w:r>
      <w:r>
        <w:rPr>
          <w:rFonts w:ascii="仿宋_GB2312" w:eastAsia="仿宋_GB2312" w:hint="eastAsia"/>
          <w:sz w:val="28"/>
          <w:szCs w:val="28"/>
        </w:rPr>
        <w:t xml:space="preserve">； </w:t>
      </w:r>
    </w:p>
    <w:p>
      <w:pPr>
        <w:snapToGrid w:val="0"/>
        <w:spacing w:line="560" w:lineRule="atLeas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在采购过程中符合竞争要求的供应商或者报价未超过采购预算的供应商不足3家的，</w:t>
      </w:r>
      <w:r>
        <w:rPr>
          <w:rFonts w:ascii="仿宋_GB2312" w:eastAsia="仿宋_GB2312" w:hint="eastAsia"/>
          <w:sz w:val="28"/>
          <w:szCs w:val="28"/>
          <w:lang w:val="en-US" w:eastAsia="zh-CN"/>
        </w:rPr>
        <w:t>除</w:t>
      </w:r>
      <w:r>
        <w:rPr>
          <w:rFonts w:ascii="仿宋_GB2312" w:eastAsia="仿宋_GB2312" w:hint="eastAsia"/>
          <w:sz w:val="28"/>
          <w:szCs w:val="28"/>
        </w:rPr>
        <w:t>符合《政府采购非招标采购方式管理办法》</w:t>
      </w:r>
      <w:r>
        <w:rPr>
          <w:rFonts w:ascii="仿宋_GB2312" w:eastAsia="仿宋_GB2312"/>
          <w:sz w:val="28"/>
          <w:szCs w:val="28"/>
        </w:rPr>
        <w:t>第二十七条第二款规定的情形除外</w:t>
      </w:r>
      <w:r>
        <w:rPr>
          <w:rFonts w:ascii="仿宋_GB2312" w:eastAsia="仿宋_GB2312" w:hint="eastAsia"/>
          <w:sz w:val="28"/>
          <w:szCs w:val="28"/>
        </w:rPr>
        <w:t>。</w:t>
      </w:r>
    </w:p>
    <w:p>
      <w:pPr>
        <w:snapToGrid w:val="0"/>
        <w:spacing w:line="560" w:lineRule="atLeast"/>
        <w:rPr>
          <w:rFonts w:ascii="仿宋_GB2312" w:eastAsia="仿宋_GB2312"/>
          <w:sz w:val="28"/>
          <w:szCs w:val="28"/>
        </w:rPr>
      </w:pPr>
      <w:r>
        <w:rPr>
          <w:rFonts w:ascii="仿宋_GB2312" w:eastAsia="仿宋_GB2312" w:hint="eastAsia"/>
          <w:sz w:val="28"/>
          <w:szCs w:val="28"/>
        </w:rPr>
        <w:t>27.响应文件的澄清</w:t>
      </w:r>
    </w:p>
    <w:p>
      <w:pPr>
        <w:snapToGrid w:val="0"/>
        <w:spacing w:line="560" w:lineRule="atLeast"/>
        <w:rPr>
          <w:rFonts w:ascii="仿宋_GB2312" w:eastAsia="仿宋_GB2312"/>
          <w:sz w:val="28"/>
          <w:szCs w:val="28"/>
        </w:rPr>
      </w:pPr>
      <w:r>
        <w:rPr>
          <w:rFonts w:ascii="仿宋_GB2312" w:eastAsia="仿宋_GB2312" w:hint="eastAsia"/>
          <w:sz w:val="28"/>
          <w:szCs w:val="28"/>
        </w:rPr>
        <w:t>27.1评审期间，供应商法定代表人（经营者）或委托代理人须时刻关注电子开标室并保持通讯畅通。如因通讯不畅导致供应商无法及时澄清而被认定为无效响应等后果由供应商自行承担。</w:t>
      </w:r>
    </w:p>
    <w:p>
      <w:pPr>
        <w:snapToGrid w:val="0"/>
        <w:spacing w:line="560" w:lineRule="atLeast"/>
        <w:rPr>
          <w:rFonts w:ascii="仿宋_GB2312" w:eastAsia="仿宋_GB2312"/>
          <w:sz w:val="28"/>
          <w:szCs w:val="28"/>
        </w:rPr>
      </w:pPr>
      <w:r>
        <w:rPr>
          <w:rFonts w:ascii="仿宋_GB2312" w:eastAsia="仿宋_GB2312" w:hint="eastAsia"/>
          <w:sz w:val="28"/>
          <w:szCs w:val="28"/>
        </w:rPr>
        <w:t>27.2对于响应文件中含义不明确、同类问题表述不一致或者有明显文字和计算错误的内容，谈判小组应当在“安阳市公共资源交易中心电子交易平台”系统中要求供应商作出必要的澄清、说明或者补正，供应商有责任按照谈判小组规定的时间要求进行答疑和澄清。</w:t>
      </w:r>
    </w:p>
    <w:p>
      <w:pPr>
        <w:snapToGrid w:val="0"/>
        <w:spacing w:line="560" w:lineRule="atLeast"/>
        <w:rPr>
          <w:rFonts w:ascii="仿宋_GB2312" w:eastAsia="仿宋_GB2312"/>
          <w:sz w:val="28"/>
          <w:szCs w:val="28"/>
        </w:rPr>
      </w:pPr>
      <w:r>
        <w:rPr>
          <w:rFonts w:ascii="仿宋_GB2312" w:eastAsia="仿宋_GB2312" w:hint="eastAsia"/>
          <w:sz w:val="28"/>
          <w:szCs w:val="28"/>
        </w:rPr>
        <w:t>27.3供应商的澄清、说明或者补正应当采用书面形式，并加盖公章，或者由法定代表人（经营者）或其授权的代表签字。并将澄清内容作为附件上传至“安阳市公共资源交易中心电子交易平台”系统中。</w:t>
      </w:r>
    </w:p>
    <w:p>
      <w:pPr>
        <w:snapToGrid w:val="0"/>
        <w:spacing w:line="560" w:lineRule="atLeast"/>
        <w:rPr>
          <w:rFonts w:ascii="仿宋_GB2312" w:eastAsia="仿宋_GB2312"/>
          <w:sz w:val="28"/>
          <w:szCs w:val="28"/>
        </w:rPr>
      </w:pPr>
      <w:r>
        <w:rPr>
          <w:rFonts w:ascii="仿宋_GB2312" w:eastAsia="仿宋_GB2312" w:hint="eastAsia"/>
          <w:sz w:val="28"/>
          <w:szCs w:val="28"/>
        </w:rPr>
        <w:t>27.4供应商的澄清、说明或者补正不得超出响应文件的范围或者改变响应文件的实质性内容。</w:t>
      </w:r>
    </w:p>
    <w:p>
      <w:pPr>
        <w:snapToGrid w:val="0"/>
        <w:spacing w:line="560" w:lineRule="atLeast"/>
        <w:rPr>
          <w:rFonts w:ascii="仿宋_GB2312" w:eastAsia="仿宋_GB2312"/>
          <w:sz w:val="28"/>
          <w:szCs w:val="28"/>
        </w:rPr>
      </w:pPr>
      <w:r>
        <w:rPr>
          <w:rFonts w:ascii="仿宋_GB2312" w:eastAsia="仿宋_GB2312" w:hint="eastAsia"/>
          <w:sz w:val="28"/>
          <w:szCs w:val="28"/>
        </w:rPr>
        <w:t>27.5供应商的澄清是响应文件的组成部分，并取代响应文件中被澄清的部分。</w:t>
      </w:r>
    </w:p>
    <w:p>
      <w:pPr>
        <w:snapToGrid w:val="0"/>
        <w:spacing w:line="560" w:lineRule="atLeast"/>
        <w:rPr>
          <w:rFonts w:ascii="仿宋_GB2312" w:eastAsia="仿宋_GB2312"/>
          <w:sz w:val="28"/>
          <w:szCs w:val="28"/>
        </w:rPr>
      </w:pPr>
      <w:r>
        <w:rPr>
          <w:rFonts w:ascii="仿宋_GB2312" w:eastAsia="仿宋_GB2312" w:hint="eastAsia"/>
          <w:sz w:val="28"/>
          <w:szCs w:val="28"/>
        </w:rPr>
        <w:t>27.6谈判小组已确认为不满足采购文件实质性要求的响应文件，不得要求供应商通过修正或撤销不符之处而使其响应文件成为满足采购文件实质性要求。</w:t>
      </w:r>
    </w:p>
    <w:p>
      <w:pPr>
        <w:snapToGrid w:val="0"/>
        <w:spacing w:line="560" w:lineRule="atLeast"/>
        <w:rPr>
          <w:rFonts w:ascii="仿宋_GB2312" w:eastAsia="仿宋_GB2312"/>
          <w:sz w:val="28"/>
          <w:szCs w:val="28"/>
        </w:rPr>
      </w:pPr>
      <w:r>
        <w:rPr>
          <w:rFonts w:ascii="仿宋_GB2312" w:eastAsia="仿宋_GB2312" w:hint="eastAsia"/>
          <w:sz w:val="28"/>
          <w:szCs w:val="28"/>
        </w:rPr>
        <w:t>27.7谈判小组判断响应文件是否满足采购文件的实质性要求应于响应文件本身内容而不靠外部证据。</w:t>
      </w:r>
    </w:p>
    <w:p>
      <w:pPr>
        <w:snapToGrid w:val="0"/>
        <w:spacing w:line="560" w:lineRule="atLeast"/>
        <w:rPr>
          <w:rFonts w:ascii="仿宋_GB2312" w:eastAsia="仿宋_GB2312"/>
          <w:sz w:val="28"/>
          <w:szCs w:val="28"/>
        </w:rPr>
      </w:pPr>
      <w:r>
        <w:rPr>
          <w:rFonts w:ascii="仿宋_GB2312" w:eastAsia="仿宋_GB2312" w:hint="eastAsia"/>
          <w:sz w:val="28"/>
          <w:szCs w:val="28"/>
        </w:rPr>
        <w:t>27.8响应文件报价出现前后不一致的按以下方法更正：“安阳市公共资源交易中心电子交易平台”系统中开标一览表（报价表）内容与响应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本款规定的顺序修正。修正后的报价，供应商应按采购文件第三部分“响应文件的澄清”要求进行确认，不确认的，即为无效响应。</w:t>
      </w:r>
    </w:p>
    <w:p>
      <w:pPr>
        <w:snapToGrid w:val="0"/>
        <w:spacing w:line="560" w:lineRule="atLeast"/>
        <w:rPr>
          <w:rFonts w:ascii="仿宋_GB2312" w:eastAsia="仿宋_GB2312"/>
          <w:sz w:val="28"/>
          <w:szCs w:val="28"/>
        </w:rPr>
      </w:pPr>
      <w:r>
        <w:rPr>
          <w:rFonts w:ascii="仿宋_GB2312" w:eastAsia="仿宋_GB2312" w:hint="eastAsia"/>
          <w:sz w:val="28"/>
          <w:szCs w:val="28"/>
        </w:rPr>
        <w:t>28.串通行为</w:t>
      </w:r>
    </w:p>
    <w:p>
      <w:pPr>
        <w:snapToGrid w:val="0"/>
        <w:spacing w:line="560" w:lineRule="atLeast"/>
        <w:rPr>
          <w:rFonts w:ascii="仿宋_GB2312" w:eastAsia="仿宋_GB2312"/>
          <w:sz w:val="28"/>
          <w:szCs w:val="28"/>
        </w:rPr>
      </w:pPr>
      <w:r>
        <w:rPr>
          <w:rFonts w:ascii="仿宋_GB2312" w:eastAsia="仿宋_GB2312" w:hint="eastAsia"/>
          <w:sz w:val="28"/>
          <w:szCs w:val="28"/>
        </w:rPr>
        <w:t>28.1供应商应当遵循公平竞争的原则，不得恶意串通，不得妨碍其他供应商的竞争行为，不得损害采购人或者其他供应商的合法权益。在评审过程中发现供应商有下述情形的，谈判小组应当认定其响应无效，并书面报告本级财政部门：</w:t>
      </w:r>
    </w:p>
    <w:p>
      <w:pPr>
        <w:snapToGrid w:val="0"/>
        <w:spacing w:line="560" w:lineRule="atLeast"/>
        <w:rPr>
          <w:rFonts w:ascii="仿宋_GB2312" w:eastAsia="仿宋_GB2312"/>
          <w:sz w:val="28"/>
          <w:szCs w:val="28"/>
        </w:rPr>
      </w:pPr>
      <w:r>
        <w:rPr>
          <w:rFonts w:ascii="仿宋_GB2312" w:eastAsia="仿宋_GB2312" w:hint="eastAsia"/>
          <w:sz w:val="28"/>
          <w:szCs w:val="28"/>
        </w:rPr>
        <w:t>(1)不同供应商的响应文件由同一单位或者个人编制；</w:t>
      </w:r>
    </w:p>
    <w:p>
      <w:pPr>
        <w:snapToGrid w:val="0"/>
        <w:spacing w:line="560" w:lineRule="atLeast"/>
        <w:rPr>
          <w:rFonts w:ascii="仿宋_GB2312" w:eastAsia="仿宋_GB2312"/>
          <w:sz w:val="28"/>
          <w:szCs w:val="28"/>
        </w:rPr>
      </w:pPr>
      <w:r>
        <w:rPr>
          <w:rFonts w:ascii="仿宋_GB2312" w:eastAsia="仿宋_GB2312" w:hint="eastAsia"/>
          <w:sz w:val="28"/>
          <w:szCs w:val="28"/>
        </w:rPr>
        <w:t>(2)不同供应商委托同一单位或者个人办理本项目事宜；</w:t>
      </w:r>
    </w:p>
    <w:p>
      <w:pPr>
        <w:snapToGrid w:val="0"/>
        <w:spacing w:line="560" w:lineRule="atLeast"/>
        <w:rPr>
          <w:rFonts w:ascii="仿宋_GB2312" w:eastAsia="仿宋_GB2312"/>
          <w:sz w:val="28"/>
          <w:szCs w:val="28"/>
        </w:rPr>
      </w:pPr>
      <w:r>
        <w:rPr>
          <w:rFonts w:ascii="仿宋_GB2312" w:eastAsia="仿宋_GB2312" w:hint="eastAsia"/>
          <w:sz w:val="28"/>
          <w:szCs w:val="28"/>
        </w:rPr>
        <w:t>(3)不同供应商的响应文件载明的项目管理成员或者联系人员为同一人；</w:t>
      </w:r>
    </w:p>
    <w:p>
      <w:pPr>
        <w:snapToGrid w:val="0"/>
        <w:spacing w:line="560" w:lineRule="atLeast"/>
        <w:rPr>
          <w:rFonts w:ascii="仿宋_GB2312" w:eastAsia="仿宋_GB2312"/>
          <w:sz w:val="28"/>
          <w:szCs w:val="28"/>
        </w:rPr>
      </w:pPr>
      <w:r>
        <w:rPr>
          <w:rFonts w:ascii="仿宋_GB2312" w:eastAsia="仿宋_GB2312" w:hint="eastAsia"/>
          <w:sz w:val="28"/>
          <w:szCs w:val="28"/>
        </w:rPr>
        <w:t>(4)不同供应商的响应文件异常一致或者报价呈规律性差异；</w:t>
      </w:r>
    </w:p>
    <w:p>
      <w:pPr>
        <w:snapToGrid w:val="0"/>
        <w:spacing w:line="560" w:lineRule="atLeast"/>
        <w:rPr>
          <w:rFonts w:ascii="仿宋_GB2312" w:eastAsia="仿宋_GB2312"/>
          <w:sz w:val="28"/>
          <w:szCs w:val="28"/>
        </w:rPr>
      </w:pPr>
      <w:r>
        <w:rPr>
          <w:rFonts w:ascii="仿宋_GB2312" w:eastAsia="仿宋_GB2312" w:hint="eastAsia"/>
          <w:sz w:val="28"/>
          <w:szCs w:val="28"/>
        </w:rPr>
        <w:t>(5)不同供应商的响应文件相互混装；</w:t>
      </w:r>
    </w:p>
    <w:p>
      <w:pPr>
        <w:tabs>
          <w:tab w:val="left" w:pos="9354"/>
        </w:tabs>
        <w:snapToGrid w:val="0"/>
        <w:spacing w:line="520" w:lineRule="atLeast"/>
        <w:rPr>
          <w:rFonts w:ascii="仿宋_GB2312" w:eastAsia="仿宋_GB2312"/>
          <w:sz w:val="28"/>
          <w:szCs w:val="28"/>
        </w:rPr>
      </w:pPr>
      <w:r>
        <w:rPr>
          <w:rFonts w:ascii="仿宋_GB2312" w:eastAsia="仿宋_GB2312" w:hint="eastAsia"/>
          <w:sz w:val="28"/>
          <w:szCs w:val="28"/>
        </w:rPr>
        <w:t>(6)不同供应商的电子响应文件上传计算机的网卡MAC地址、CPU序列号和硬盘序列号等硬件信息相同的;</w:t>
      </w:r>
    </w:p>
    <w:p>
      <w:pPr>
        <w:tabs>
          <w:tab w:val="left" w:pos="9354"/>
        </w:tabs>
        <w:snapToGrid w:val="0"/>
        <w:spacing w:line="520" w:lineRule="atLeast"/>
        <w:rPr>
          <w:rFonts w:ascii="仿宋_GB2312" w:eastAsia="仿宋_GB2312"/>
          <w:sz w:val="28"/>
          <w:szCs w:val="28"/>
        </w:rPr>
      </w:pPr>
      <w:r>
        <w:rPr>
          <w:rFonts w:ascii="仿宋_GB2312" w:eastAsia="仿宋_GB2312" w:hint="eastAsia"/>
          <w:sz w:val="28"/>
          <w:szCs w:val="28"/>
        </w:rPr>
        <w:t>(7)不同供应商的响应文件由同一电子设备编制、打印加密或者上传；</w:t>
      </w:r>
    </w:p>
    <w:p>
      <w:pPr>
        <w:tabs>
          <w:tab w:val="left" w:pos="9354"/>
        </w:tabs>
        <w:snapToGrid w:val="0"/>
        <w:spacing w:line="520" w:lineRule="atLeast"/>
        <w:rPr>
          <w:rFonts w:ascii="仿宋_GB2312" w:eastAsia="仿宋_GB2312"/>
          <w:sz w:val="28"/>
          <w:szCs w:val="28"/>
        </w:rPr>
      </w:pPr>
      <w:r>
        <w:rPr>
          <w:rFonts w:ascii="仿宋_GB2312" w:eastAsia="仿宋_GB2312" w:hint="eastAsia"/>
          <w:sz w:val="28"/>
          <w:szCs w:val="28"/>
        </w:rPr>
        <w:t>(8)不同供应商的响应文件由同一电子设备打印、复印；</w:t>
      </w:r>
    </w:p>
    <w:p>
      <w:pPr>
        <w:tabs>
          <w:tab w:val="left" w:pos="9354"/>
        </w:tabs>
        <w:snapToGrid w:val="0"/>
        <w:spacing w:line="520" w:lineRule="atLeast"/>
        <w:rPr>
          <w:rFonts w:ascii="仿宋_GB2312" w:eastAsia="仿宋_GB2312"/>
          <w:sz w:val="28"/>
          <w:szCs w:val="28"/>
        </w:rPr>
      </w:pPr>
      <w:r>
        <w:rPr>
          <w:rFonts w:ascii="仿宋_GB2312" w:eastAsia="仿宋_GB2312" w:hint="eastAsia"/>
          <w:sz w:val="28"/>
          <w:szCs w:val="28"/>
        </w:rPr>
        <w:t>(9)不同供应商的响应文件由同一人送达或者分发的，或者不同供应商联系人为同一人或不同联系人的联系电话一致的；</w:t>
      </w:r>
    </w:p>
    <w:p>
      <w:pPr>
        <w:tabs>
          <w:tab w:val="left" w:pos="9354"/>
        </w:tabs>
        <w:snapToGrid w:val="0"/>
        <w:spacing w:line="520" w:lineRule="atLeast"/>
        <w:rPr>
          <w:rFonts w:ascii="仿宋_GB2312" w:eastAsia="仿宋_GB2312"/>
          <w:sz w:val="28"/>
          <w:szCs w:val="28"/>
        </w:rPr>
      </w:pPr>
      <w:r>
        <w:rPr>
          <w:rFonts w:ascii="仿宋_GB2312" w:eastAsia="仿宋_GB2312" w:hint="eastAsia"/>
          <w:sz w:val="28"/>
          <w:szCs w:val="28"/>
        </w:rPr>
        <w:t>(10)不同供应商的响应文件的内容存在两处以上细节错误一致;</w:t>
      </w:r>
    </w:p>
    <w:p>
      <w:pPr>
        <w:tabs>
          <w:tab w:val="left" w:pos="9354"/>
        </w:tabs>
        <w:snapToGrid w:val="0"/>
        <w:spacing w:line="520" w:lineRule="atLeast"/>
        <w:rPr>
          <w:rFonts w:ascii="仿宋_GB2312" w:eastAsia="仿宋_GB2312"/>
          <w:sz w:val="28"/>
          <w:szCs w:val="28"/>
        </w:rPr>
      </w:pPr>
      <w:r>
        <w:rPr>
          <w:rFonts w:ascii="仿宋_GB2312" w:eastAsia="仿宋_GB2312" w:hint="eastAsia"/>
          <w:sz w:val="28"/>
          <w:szCs w:val="28"/>
        </w:rPr>
        <w:t>(11)不同供应商的法定代表人、委托代理人、项目经理、项目负责人等以及其他工作人员由同一个单位缴纳社会保险或者领取报酬的；</w:t>
      </w:r>
    </w:p>
    <w:p>
      <w:pPr>
        <w:tabs>
          <w:tab w:val="left" w:pos="9354"/>
        </w:tabs>
        <w:snapToGrid w:val="0"/>
        <w:spacing w:line="520" w:lineRule="atLeast"/>
        <w:rPr>
          <w:rFonts w:ascii="仿宋_GB2312" w:eastAsia="仿宋_GB2312"/>
          <w:sz w:val="28"/>
          <w:szCs w:val="28"/>
        </w:rPr>
      </w:pPr>
      <w:r>
        <w:rPr>
          <w:rFonts w:ascii="仿宋_GB2312" w:eastAsia="仿宋_GB2312" w:hint="eastAsia"/>
          <w:sz w:val="28"/>
          <w:szCs w:val="28"/>
        </w:rPr>
        <w:t>(12)不同供应商响应文件中法定代表人或者负责人签字出自同一人之手；</w:t>
      </w:r>
    </w:p>
    <w:p>
      <w:pPr>
        <w:snapToGrid w:val="0"/>
        <w:spacing w:line="560" w:lineRule="atLeast"/>
        <w:rPr>
          <w:rFonts w:ascii="仿宋_GB2312" w:eastAsia="仿宋_GB2312"/>
          <w:sz w:val="28"/>
          <w:szCs w:val="28"/>
        </w:rPr>
      </w:pPr>
      <w:r>
        <w:rPr>
          <w:rFonts w:ascii="仿宋_GB2312" w:eastAsia="仿宋_GB2312" w:hint="eastAsia"/>
          <w:sz w:val="28"/>
          <w:szCs w:val="28"/>
        </w:rPr>
        <w:t>(13)其它涉嫌串通的情形。</w:t>
      </w:r>
    </w:p>
    <w:p>
      <w:pPr>
        <w:snapToGrid w:val="0"/>
        <w:spacing w:line="560" w:lineRule="atLeast"/>
        <w:rPr>
          <w:rFonts w:ascii="仿宋_GB2312" w:eastAsia="仿宋_GB2312"/>
          <w:sz w:val="28"/>
          <w:szCs w:val="28"/>
        </w:rPr>
      </w:pPr>
      <w:r>
        <w:rPr>
          <w:rFonts w:ascii="仿宋_GB2312" w:eastAsia="仿宋_GB2312" w:hint="eastAsia"/>
          <w:sz w:val="28"/>
          <w:szCs w:val="28"/>
        </w:rPr>
        <w:t>29.谈判</w:t>
      </w:r>
    </w:p>
    <w:p>
      <w:pPr>
        <w:snapToGrid w:val="0"/>
        <w:spacing w:line="560" w:lineRule="atLeast"/>
        <w:rPr>
          <w:rFonts w:ascii="仿宋_GB2312" w:eastAsia="仿宋_GB2312"/>
          <w:sz w:val="28"/>
          <w:szCs w:val="28"/>
        </w:rPr>
      </w:pPr>
      <w:r>
        <w:rPr>
          <w:rFonts w:ascii="仿宋_GB2312" w:eastAsia="仿宋_GB2312" w:hint="eastAsia"/>
          <w:sz w:val="28"/>
          <w:szCs w:val="28"/>
        </w:rPr>
        <w:t>29.1谈判小组认为供应商的报价明显低于其他供应商的报价，有可能影响产品质量或者不能诚信履约的，应当要求其在合理的时间内提供书面说明，必要时提交相关证明材料；供应商不能证明其报价合理性的，谈判小组应当将其作为无效响应处理。</w:t>
      </w:r>
    </w:p>
    <w:p>
      <w:pPr>
        <w:snapToGrid w:val="0"/>
        <w:spacing w:line="560" w:lineRule="atLeast"/>
        <w:rPr>
          <w:rFonts w:ascii="仿宋_GB2312" w:eastAsia="仿宋_GB2312"/>
          <w:sz w:val="28"/>
          <w:szCs w:val="28"/>
        </w:rPr>
      </w:pPr>
      <w:r>
        <w:rPr>
          <w:rFonts w:ascii="仿宋_GB2312" w:eastAsia="仿宋_GB2312" w:hint="eastAsia"/>
          <w:sz w:val="28"/>
          <w:szCs w:val="28"/>
        </w:rPr>
        <w:t>29.2</w:t>
      </w:r>
      <w:r>
        <w:rPr>
          <w:rFonts w:ascii="仿宋_GB2312" w:eastAsia="仿宋_GB2312"/>
          <w:sz w:val="28"/>
          <w:szCs w:val="28"/>
        </w:rPr>
        <w:t>谈判小组所有成员</w:t>
      </w:r>
      <w:r>
        <w:rPr>
          <w:rFonts w:ascii="仿宋_GB2312" w:eastAsia="仿宋_GB2312" w:hint="eastAsia"/>
          <w:sz w:val="28"/>
          <w:szCs w:val="28"/>
        </w:rPr>
        <w:t>会</w:t>
      </w:r>
      <w:r>
        <w:rPr>
          <w:rFonts w:ascii="仿宋_GB2312" w:eastAsia="仿宋_GB2312"/>
          <w:sz w:val="28"/>
          <w:szCs w:val="28"/>
        </w:rPr>
        <w:t>集中与供应商分别进行谈判，并给予所有参加谈判的供应商平等的谈判机会。在谈判过程中，谈判小组可以根据采购文件和谈判情况实质性变动采购需求中的技术、服务要求以及合同草案条款，但不得变动采购文件中的其他内容。实质性变动的内容，须经采购人代表确认。谈判小组</w:t>
      </w:r>
      <w:r>
        <w:rPr>
          <w:rFonts w:ascii="仿宋_GB2312" w:eastAsia="仿宋_GB2312" w:hint="eastAsia"/>
          <w:sz w:val="28"/>
          <w:szCs w:val="28"/>
        </w:rPr>
        <w:t>会在评审界面的对话框</w:t>
      </w:r>
      <w:r>
        <w:rPr>
          <w:rFonts w:ascii="仿宋_GB2312" w:eastAsia="仿宋_GB2312"/>
          <w:sz w:val="28"/>
          <w:szCs w:val="28"/>
        </w:rPr>
        <w:t>及时通知所有参加谈判的供应商。</w:t>
      </w:r>
      <w:r>
        <w:rPr>
          <w:rFonts w:ascii="仿宋_GB2312" w:eastAsia="仿宋_GB2312" w:hint="eastAsia"/>
          <w:sz w:val="28"/>
          <w:szCs w:val="28"/>
        </w:rPr>
        <w:t>评审期间，供应商可通过评审界面的对话框接受询问。谈判结束后，未实质性响应采购文件的响应文件按无效处理，谈判小组应当通过评审界面的对话框告知有关供应商。</w:t>
      </w:r>
    </w:p>
    <w:p>
      <w:pPr>
        <w:snapToGrid w:val="0"/>
        <w:spacing w:line="560" w:lineRule="atLeast"/>
        <w:rPr>
          <w:rFonts w:ascii="仿宋_GB2312" w:eastAsia="仿宋_GB2312"/>
          <w:sz w:val="28"/>
          <w:szCs w:val="28"/>
        </w:rPr>
      </w:pPr>
      <w:r>
        <w:rPr>
          <w:rFonts w:ascii="仿宋_GB2312" w:eastAsia="仿宋_GB2312" w:hint="eastAsia"/>
          <w:sz w:val="28"/>
          <w:szCs w:val="28"/>
        </w:rPr>
        <w:t>29.3</w:t>
      </w:r>
      <w:r>
        <w:rPr>
          <w:rFonts w:ascii="仿宋_GB2312" w:eastAsia="仿宋_GB2312"/>
          <w:sz w:val="28"/>
          <w:szCs w:val="28"/>
        </w:rPr>
        <w:t>谈判结束后，谈判小组</w:t>
      </w:r>
      <w:r>
        <w:rPr>
          <w:rFonts w:ascii="仿宋_GB2312" w:eastAsia="仿宋_GB2312" w:hint="eastAsia"/>
          <w:sz w:val="28"/>
          <w:szCs w:val="28"/>
        </w:rPr>
        <w:t>会</w:t>
      </w:r>
      <w:r>
        <w:rPr>
          <w:rFonts w:ascii="仿宋_GB2312" w:eastAsia="仿宋_GB2312"/>
          <w:sz w:val="28"/>
          <w:szCs w:val="28"/>
        </w:rPr>
        <w:t>要求所有继续参加谈判的供应商在规定时间内提交最后报价</w:t>
      </w:r>
      <w:r>
        <w:rPr>
          <w:rFonts w:ascii="仿宋_GB2312" w:eastAsia="仿宋_GB2312" w:hint="eastAsia"/>
          <w:sz w:val="28"/>
          <w:szCs w:val="28"/>
        </w:rPr>
        <w:t>。已提交响应文件的供应商，在提交最后报价之前，不可以退出谈判。</w:t>
      </w:r>
      <w:r>
        <w:rPr>
          <w:rFonts w:ascii="仿宋_GB2312" w:eastAsia="仿宋_GB2312"/>
          <w:sz w:val="28"/>
          <w:szCs w:val="28"/>
        </w:rPr>
        <w:t>最后报价是供应商响应文件的有效组成部分。</w:t>
      </w:r>
      <w:r>
        <w:rPr>
          <w:rFonts w:ascii="仿宋_GB2312" w:eastAsia="仿宋_GB2312" w:hint="eastAsia"/>
          <w:sz w:val="28"/>
          <w:szCs w:val="28"/>
        </w:rPr>
        <w:t>响应文件按无效处理的供应商，所提交的报价也按无效处理。</w:t>
      </w:r>
    </w:p>
    <w:p>
      <w:pPr>
        <w:snapToGrid w:val="0"/>
        <w:spacing w:line="560" w:lineRule="atLeast"/>
        <w:rPr>
          <w:rFonts w:ascii="仿宋_GB2312" w:eastAsia="仿宋_GB2312"/>
          <w:sz w:val="28"/>
          <w:szCs w:val="28"/>
        </w:rPr>
      </w:pPr>
      <w:r>
        <w:rPr>
          <w:rFonts w:ascii="仿宋_GB2312" w:eastAsia="仿宋_GB2312" w:hint="eastAsia"/>
          <w:sz w:val="28"/>
          <w:szCs w:val="28"/>
        </w:rPr>
        <w:t>29.4供应商提交最后报价应在“安阳市公共资源交易中心电子交易平台”系统上填写分项报价，分项报价自动汇总总价。本项目在谈判结束后只进行一轮报价，即最后报价。如果谈判小组发起最后报价，供应商应在规定时间内提交最后报价。如果供应商未在规定时间内提交最后报价，视为该供应商第一次报价为供应商最低报价。</w:t>
      </w:r>
    </w:p>
    <w:p>
      <w:pPr>
        <w:snapToGrid w:val="0"/>
        <w:spacing w:line="560" w:lineRule="atLeast"/>
        <w:rPr>
          <w:rFonts w:ascii="仿宋_GB2312" w:eastAsia="仿宋_GB2312"/>
          <w:sz w:val="28"/>
          <w:szCs w:val="28"/>
        </w:rPr>
      </w:pPr>
      <w:r>
        <w:rPr>
          <w:rFonts w:ascii="仿宋_GB2312" w:eastAsia="仿宋_GB2312" w:hint="eastAsia"/>
          <w:sz w:val="28"/>
          <w:szCs w:val="28"/>
        </w:rPr>
        <w:t>29.5供应商在网上报价过程中，如遇到网上投标系统的操作问题，可通过网上预留的咨询电话进行咨询（咨询电话：010-86483801）。供应商因未按照要求进行操作、供应商办理的数字证书失效等其他自身原因导致响应文件错误或无效的，谈判小组应认定其为按无效处理。</w:t>
      </w:r>
    </w:p>
    <w:p>
      <w:pPr>
        <w:spacing w:before="262" w:line="227" w:lineRule="auto"/>
        <w:rPr>
          <w:rFonts w:ascii="宋体" w:hAnsi="宋体" w:cs="宋体"/>
          <w:b/>
          <w:bCs/>
          <w:sz w:val="23"/>
          <w:szCs w:val="23"/>
          <w:highlight w:val="yellow"/>
        </w:rPr>
      </w:pPr>
      <w:r>
        <w:rPr>
          <w:rFonts w:ascii="仿宋_GB2312" w:eastAsia="仿宋_GB2312" w:hint="eastAsia"/>
          <w:sz w:val="28"/>
          <w:szCs w:val="28"/>
        </w:rPr>
        <w:t>29.6</w:t>
      </w:r>
      <w:r>
        <w:rPr>
          <w:rFonts w:ascii="仿宋_GB2312" w:eastAsia="仿宋_GB2312" w:hint="eastAsia"/>
          <w:sz w:val="28"/>
          <w:szCs w:val="28"/>
          <w:highlight w:val="none"/>
        </w:rPr>
        <w:t>本项目采购人已授权谈判小组直接确定成交供应商。谈判小组应从质量和服务均能满足采购文件实质性响应要求的供应商中，按照最后报价由低到高的顺序确定成交供应商，并推荐</w:t>
      </w:r>
      <w:r>
        <w:rPr>
          <w:rFonts w:ascii="仿宋_GB2312" w:eastAsia="仿宋_GB2312" w:hint="eastAsia"/>
          <w:sz w:val="28"/>
          <w:szCs w:val="28"/>
          <w:highlight w:val="none"/>
          <w:lang w:val="en-US" w:eastAsia="zh-CN"/>
        </w:rPr>
        <w:t>3</w:t>
      </w:r>
      <w:r>
        <w:rPr>
          <w:rFonts w:ascii="仿宋_GB2312" w:eastAsia="仿宋_GB2312" w:hint="eastAsia"/>
          <w:sz w:val="28"/>
          <w:szCs w:val="28"/>
          <w:highlight w:val="none"/>
        </w:rPr>
        <w:t>家成交候选供应商，确定排名第一的成交候选人为成交供应商</w:t>
      </w:r>
      <w:r>
        <w:rPr>
          <w:rFonts w:ascii="仿宋_GB2312" w:eastAsia="仿宋_GB2312" w:hint="eastAsia"/>
          <w:sz w:val="28"/>
          <w:szCs w:val="28"/>
          <w:highlight w:val="none"/>
          <w:lang w:eastAsia="zh-CN"/>
        </w:rPr>
        <w:t>，</w:t>
      </w:r>
      <w:r>
        <w:rPr>
          <w:rFonts w:ascii="仿宋_GB2312" w:eastAsia="仿宋_GB2312" w:hint="eastAsia"/>
          <w:sz w:val="28"/>
          <w:szCs w:val="28"/>
          <w:highlight w:val="none"/>
        </w:rPr>
        <w:t>并编写评审报告。</w:t>
      </w:r>
    </w:p>
    <w:p>
      <w:pPr>
        <w:snapToGrid w:val="0"/>
        <w:spacing w:line="560" w:lineRule="atLeast"/>
        <w:rPr>
          <w:rFonts w:ascii="仿宋_GB2312" w:eastAsia="仿宋_GB2312"/>
          <w:sz w:val="28"/>
          <w:szCs w:val="28"/>
        </w:rPr>
      </w:pPr>
      <w:r>
        <w:rPr>
          <w:rFonts w:ascii="仿宋_GB2312" w:eastAsia="仿宋_GB2312" w:hint="eastAsia"/>
          <w:sz w:val="28"/>
          <w:szCs w:val="28"/>
        </w:rPr>
        <w:t>30.保密及其它注意事项</w:t>
      </w:r>
    </w:p>
    <w:p>
      <w:pPr>
        <w:snapToGrid w:val="0"/>
        <w:spacing w:line="560" w:lineRule="atLeast"/>
        <w:rPr>
          <w:rFonts w:ascii="仿宋_GB2312" w:eastAsia="仿宋_GB2312"/>
          <w:sz w:val="28"/>
          <w:szCs w:val="28"/>
        </w:rPr>
      </w:pPr>
      <w:r>
        <w:rPr>
          <w:rFonts w:ascii="仿宋_GB2312" w:eastAsia="仿宋_GB2312" w:hint="eastAsia"/>
          <w:sz w:val="28"/>
          <w:szCs w:val="28"/>
        </w:rPr>
        <w:t>30.1评审是采购工作的重要环节，评审工作在谈判小组内独立进行。</w:t>
      </w:r>
    </w:p>
    <w:p>
      <w:pPr>
        <w:snapToGrid w:val="0"/>
        <w:spacing w:line="560" w:lineRule="atLeast"/>
        <w:rPr>
          <w:rFonts w:ascii="仿宋_GB2312" w:eastAsia="仿宋_GB2312"/>
          <w:sz w:val="28"/>
          <w:szCs w:val="28"/>
        </w:rPr>
      </w:pPr>
      <w:r>
        <w:rPr>
          <w:rFonts w:ascii="仿宋_GB2312" w:eastAsia="仿宋_GB2312" w:hint="eastAsia"/>
          <w:sz w:val="28"/>
          <w:szCs w:val="28"/>
        </w:rPr>
        <w:t>30.2在开标、评审期间，供应商不得向谈判小组询问情况，不得进行旨在影响评审结果的活动。</w:t>
      </w:r>
    </w:p>
    <w:p>
      <w:pPr>
        <w:snapToGrid w:val="0"/>
        <w:spacing w:line="560" w:lineRule="atLeast"/>
        <w:rPr>
          <w:rFonts w:ascii="仿宋_GB2312" w:eastAsia="仿宋_GB2312"/>
          <w:sz w:val="28"/>
          <w:szCs w:val="28"/>
        </w:rPr>
      </w:pPr>
      <w:r>
        <w:rPr>
          <w:rFonts w:ascii="仿宋_GB2312" w:eastAsia="仿宋_GB2312" w:hint="eastAsia"/>
          <w:sz w:val="28"/>
          <w:szCs w:val="28"/>
        </w:rPr>
        <w:t>30.3为保证评审的公正性谈判小组不得与供应商私下交换意见。</w:t>
      </w:r>
    </w:p>
    <w:p>
      <w:pPr>
        <w:snapToGrid w:val="0"/>
        <w:spacing w:line="560" w:lineRule="atLeast"/>
        <w:rPr>
          <w:rFonts w:ascii="宋体" w:hAnsi="宋体" w:hint="eastAsia"/>
          <w:b/>
          <w:sz w:val="36"/>
          <w:szCs w:val="36"/>
        </w:rPr>
      </w:pPr>
      <w:r>
        <w:rPr>
          <w:rFonts w:ascii="仿宋_GB2312" w:eastAsia="仿宋_GB2312" w:hint="eastAsia"/>
          <w:sz w:val="28"/>
          <w:szCs w:val="28"/>
        </w:rPr>
        <w:t>30.4在评审工作结束后，凡与评审情况有接触的任何人不得擅自将评审情况扩散出评审人员之外。</w:t>
      </w:r>
    </w:p>
    <w:p>
      <w:pPr>
        <w:snapToGrid w:val="0"/>
        <w:spacing w:before="142" w:beforeLines="50" w:after="142" w:afterLines="50" w:line="560" w:lineRule="atLeast"/>
        <w:ind w:firstLine="556"/>
        <w:jc w:val="center"/>
        <w:textAlignment w:val="top"/>
        <w:rPr>
          <w:rFonts w:ascii="宋体" w:hAnsi="宋体" w:hint="eastAsia"/>
          <w:b/>
          <w:sz w:val="36"/>
          <w:szCs w:val="36"/>
        </w:rPr>
      </w:pPr>
    </w:p>
    <w:p>
      <w:pPr>
        <w:snapToGrid w:val="0"/>
        <w:spacing w:before="142" w:beforeLines="50" w:after="142" w:afterLines="50" w:line="560" w:lineRule="atLeast"/>
        <w:ind w:firstLine="556"/>
        <w:jc w:val="center"/>
        <w:textAlignment w:val="top"/>
        <w:rPr>
          <w:rFonts w:ascii="宋体" w:hAnsi="宋体"/>
          <w:b/>
          <w:sz w:val="36"/>
          <w:szCs w:val="36"/>
        </w:rPr>
      </w:pPr>
      <w:r>
        <w:rPr>
          <w:rFonts w:ascii="宋体" w:hAnsi="宋体" w:hint="eastAsia"/>
          <w:b/>
          <w:sz w:val="36"/>
          <w:szCs w:val="36"/>
        </w:rPr>
        <w:t>七、成交公告及授予合同</w:t>
      </w:r>
    </w:p>
    <w:p>
      <w:pPr>
        <w:snapToGrid w:val="0"/>
        <w:spacing w:line="560" w:lineRule="atLeast"/>
        <w:rPr>
          <w:rFonts w:ascii="仿宋_GB2312" w:eastAsia="仿宋_GB2312"/>
          <w:sz w:val="28"/>
          <w:szCs w:val="28"/>
        </w:rPr>
      </w:pPr>
      <w:r>
        <w:rPr>
          <w:rFonts w:ascii="仿宋_GB2312" w:eastAsia="仿宋_GB2312" w:hint="eastAsia"/>
          <w:sz w:val="28"/>
          <w:szCs w:val="28"/>
        </w:rPr>
        <w:t>31.成交结果的发布</w:t>
      </w:r>
    </w:p>
    <w:p>
      <w:pPr>
        <w:snapToGrid w:val="0"/>
        <w:spacing w:line="560" w:lineRule="atLeast"/>
        <w:rPr>
          <w:rFonts w:ascii="仿宋_GB2312" w:eastAsia="仿宋_GB2312"/>
          <w:sz w:val="28"/>
          <w:szCs w:val="28"/>
        </w:rPr>
      </w:pPr>
      <w:r>
        <w:rPr>
          <w:rFonts w:ascii="仿宋_GB2312" w:eastAsia="仿宋_GB2312" w:hint="eastAsia"/>
          <w:sz w:val="28"/>
          <w:szCs w:val="28"/>
        </w:rPr>
        <w:t>31.1评审结束后，采购代理机构将依据谈判小组确定的成交供应商在“河南省政府采购网”和“安阳市公共资源交易中心网”上进行公告1个工作日</w:t>
      </w:r>
      <w:r>
        <w:rPr>
          <w:rFonts w:ascii="仿宋_GB2312" w:eastAsia="仿宋_GB2312" w:hint="eastAsia"/>
          <w:sz w:val="28"/>
          <w:szCs w:val="28"/>
          <w:lang w:eastAsia="zh-CN"/>
        </w:rPr>
        <w:t>，</w:t>
      </w:r>
      <w:r>
        <w:rPr>
          <w:rFonts w:ascii="仿宋_GB2312" w:eastAsia="仿宋_GB2312" w:hint="eastAsia"/>
          <w:sz w:val="28"/>
          <w:szCs w:val="28"/>
        </w:rPr>
        <w:t>并向成交供应商发出《成交通知书》。</w:t>
      </w:r>
    </w:p>
    <w:p>
      <w:pPr>
        <w:snapToGrid w:val="0"/>
        <w:spacing w:line="560" w:lineRule="atLeast"/>
        <w:rPr>
          <w:rFonts w:ascii="仿宋_GB2312" w:eastAsia="仿宋_GB2312"/>
          <w:sz w:val="28"/>
          <w:szCs w:val="28"/>
        </w:rPr>
      </w:pPr>
      <w:r>
        <w:rPr>
          <w:rFonts w:ascii="仿宋_GB2312" w:eastAsia="仿宋_GB2312" w:hint="eastAsia"/>
          <w:sz w:val="28"/>
          <w:szCs w:val="28"/>
        </w:rPr>
        <w:t>31.2供应商若对评审结果有疑问，可以在知道或者应知其权益受到损害之日起七个工作日内，向采购人或采购代理机构提出询问或质疑。</w:t>
      </w:r>
    </w:p>
    <w:p>
      <w:pPr>
        <w:snapToGrid w:val="0"/>
        <w:spacing w:line="560" w:lineRule="atLeast"/>
        <w:rPr>
          <w:rFonts w:ascii="仿宋_GB2312" w:eastAsia="仿宋_GB2312"/>
          <w:sz w:val="28"/>
          <w:szCs w:val="28"/>
        </w:rPr>
      </w:pPr>
      <w:r>
        <w:rPr>
          <w:rFonts w:ascii="仿宋_GB2312" w:eastAsia="仿宋_GB2312" w:hint="eastAsia"/>
          <w:sz w:val="28"/>
          <w:szCs w:val="28"/>
        </w:rPr>
        <w:t>31.3供应商询问或质疑应以书面形式（供应商质疑函范本可在安阳市公共资源交易中心网站“资料下载”中进行下载。质疑须提交以下资料并加盖供应商公章：质疑函原件、法人授权委托书原件）提出并送至采购人和采购代理机构。</w:t>
      </w:r>
    </w:p>
    <w:p>
      <w:pPr>
        <w:snapToGrid w:val="0"/>
        <w:spacing w:line="560" w:lineRule="atLeast"/>
        <w:rPr>
          <w:rFonts w:ascii="仿宋_GB2312" w:eastAsia="仿宋_GB2312"/>
          <w:sz w:val="28"/>
          <w:szCs w:val="28"/>
        </w:rPr>
      </w:pPr>
      <w:r>
        <w:rPr>
          <w:rFonts w:ascii="仿宋_GB2312" w:eastAsia="仿宋_GB2312" w:hint="eastAsia"/>
          <w:sz w:val="28"/>
          <w:szCs w:val="28"/>
        </w:rPr>
        <w:t>31.4如对采购人、采购代理机构的答复不满意，可向安阳市财政局政府采购监督管理科进行书面投诉。(具体程序按《中华人民共和国政府采购法实施条例》、《政府采购质疑和投诉办法》等文件执行。)</w:t>
      </w:r>
    </w:p>
    <w:p>
      <w:pPr>
        <w:snapToGrid w:val="0"/>
        <w:spacing w:line="560" w:lineRule="atLeast"/>
        <w:rPr>
          <w:rFonts w:ascii="仿宋_GB2312" w:eastAsia="仿宋_GB2312"/>
          <w:sz w:val="28"/>
          <w:szCs w:val="28"/>
        </w:rPr>
      </w:pPr>
      <w:r>
        <w:rPr>
          <w:rFonts w:ascii="仿宋_GB2312" w:eastAsia="仿宋_GB2312" w:hint="eastAsia"/>
          <w:sz w:val="28"/>
          <w:szCs w:val="28"/>
        </w:rPr>
        <w:t>32.签订合同</w:t>
      </w:r>
    </w:p>
    <w:p>
      <w:pPr>
        <w:snapToGrid w:val="0"/>
        <w:spacing w:line="560" w:lineRule="atLeast"/>
        <w:rPr>
          <w:rFonts w:ascii="仿宋_GB2312" w:eastAsia="仿宋_GB2312"/>
          <w:sz w:val="28"/>
          <w:szCs w:val="28"/>
        </w:rPr>
      </w:pPr>
      <w:r>
        <w:rPr>
          <w:rFonts w:ascii="仿宋_GB2312" w:eastAsia="仿宋_GB2312" w:hint="eastAsia"/>
          <w:sz w:val="28"/>
          <w:szCs w:val="28"/>
        </w:rPr>
        <w:t>32.1根据政府采购法及相关规定，采购人和成交供应商必须在成交通知书发出之日起</w:t>
      </w:r>
      <w:r>
        <w:rPr>
          <w:rFonts w:ascii="仿宋_GB2312" w:eastAsia="仿宋_GB2312" w:hint="eastAsia"/>
          <w:sz w:val="28"/>
          <w:szCs w:val="28"/>
          <w:lang w:val="en-US" w:eastAsia="zh-CN"/>
        </w:rPr>
        <w:t>2</w:t>
      </w:r>
      <w:r>
        <w:rPr>
          <w:rFonts w:ascii="仿宋_GB2312" w:eastAsia="仿宋_GB2312" w:hint="eastAsia"/>
          <w:sz w:val="28"/>
          <w:szCs w:val="28"/>
        </w:rPr>
        <w:t>个工作日内，按照采购文件确定的事项签订政府采购合同。</w:t>
      </w:r>
    </w:p>
    <w:p>
      <w:pPr>
        <w:snapToGrid w:val="0"/>
        <w:spacing w:line="560" w:lineRule="atLeast"/>
        <w:rPr>
          <w:rFonts w:ascii="仿宋_GB2312" w:eastAsia="仿宋_GB2312"/>
          <w:sz w:val="28"/>
          <w:szCs w:val="28"/>
        </w:rPr>
      </w:pPr>
      <w:r>
        <w:rPr>
          <w:rFonts w:ascii="仿宋_GB2312" w:eastAsia="仿宋_GB2312" w:hint="eastAsia"/>
          <w:sz w:val="28"/>
          <w:szCs w:val="28"/>
        </w:rPr>
        <w:t>32.2《成交通知书》、采购文件、成交供应商的响应文件及其澄清文件等，均为签订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合同起草后，双方签字盖章生效。</w:t>
      </w:r>
    </w:p>
    <w:p>
      <w:pPr>
        <w:snapToGrid w:val="0"/>
        <w:spacing w:line="560" w:lineRule="atLeast"/>
        <w:rPr>
          <w:rFonts w:ascii="仿宋_GB2312" w:eastAsia="仿宋_GB2312"/>
          <w:sz w:val="28"/>
          <w:szCs w:val="28"/>
        </w:rPr>
      </w:pPr>
      <w:r>
        <w:rPr>
          <w:rFonts w:ascii="仿宋_GB2312" w:eastAsia="仿宋_GB2312" w:hint="eastAsia"/>
          <w:sz w:val="28"/>
          <w:szCs w:val="28"/>
        </w:rPr>
        <w:t>32.3根据政府采购法及相关规定，据“河南省电子化政府采购系统”合同备案后系统同时合同公告的实际情况，采购人必须在合同签订后1个工作日内进行合同公告及备案，鼓励合同签订当日进行公告及备案。</w:t>
      </w:r>
    </w:p>
    <w:p>
      <w:pPr>
        <w:snapToGrid w:val="0"/>
        <w:spacing w:line="560" w:lineRule="atLeast"/>
        <w:rPr>
          <w:rFonts w:ascii="仿宋_GB2312" w:eastAsia="仿宋_GB2312"/>
          <w:sz w:val="28"/>
          <w:szCs w:val="28"/>
        </w:rPr>
      </w:pPr>
      <w:r>
        <w:rPr>
          <w:rFonts w:ascii="仿宋_GB2312" w:eastAsia="仿宋_GB2312" w:hint="eastAsia"/>
          <w:sz w:val="28"/>
          <w:szCs w:val="28"/>
        </w:rPr>
        <w:t>33.合同变更</w:t>
      </w:r>
    </w:p>
    <w:p>
      <w:pPr>
        <w:snapToGrid w:val="0"/>
        <w:spacing w:line="560" w:lineRule="atLeast"/>
        <w:rPr>
          <w:rFonts w:ascii="仿宋_GB2312" w:eastAsia="仿宋_GB2312"/>
          <w:sz w:val="28"/>
          <w:szCs w:val="28"/>
        </w:rPr>
      </w:pPr>
      <w:r>
        <w:rPr>
          <w:rFonts w:ascii="仿宋_GB2312" w:eastAsia="仿宋_GB2312" w:hint="eastAsia"/>
          <w:sz w:val="28"/>
          <w:szCs w:val="28"/>
        </w:rPr>
        <w:t>33.1政府采购合同履行中，采购人需追加与合同标的相同的货物、工程和服务的（即增加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pPr>
        <w:snapToGrid w:val="0"/>
        <w:spacing w:line="560" w:lineRule="atLeast"/>
        <w:rPr>
          <w:rFonts w:ascii="仿宋_GB2312" w:eastAsia="仿宋_GB2312"/>
          <w:sz w:val="28"/>
          <w:szCs w:val="28"/>
        </w:rPr>
      </w:pPr>
      <w:r>
        <w:rPr>
          <w:rFonts w:ascii="仿宋_GB2312" w:eastAsia="仿宋_GB2312" w:hint="eastAsia"/>
          <w:sz w:val="28"/>
          <w:szCs w:val="28"/>
        </w:rPr>
        <w:t>33.2按照有关规定，合同变更应报经安阳市财政局政府采购监督管理科备案。</w:t>
      </w:r>
    </w:p>
    <w:p>
      <w:pPr>
        <w:snapToGrid w:val="0"/>
        <w:spacing w:line="560" w:lineRule="atLeast"/>
        <w:rPr>
          <w:rFonts w:ascii="宋体" w:hAnsi="宋体"/>
          <w:b/>
          <w:sz w:val="36"/>
          <w:szCs w:val="36"/>
        </w:rPr>
      </w:pPr>
      <w:r>
        <w:rPr>
          <w:rFonts w:ascii="仿宋_GB2312" w:eastAsia="仿宋_GB2312" w:hint="eastAsia"/>
          <w:sz w:val="28"/>
          <w:szCs w:val="28"/>
        </w:rPr>
        <w:t>33.3如采购人、成交供应商拒签合同或采购人、成交供应商之间擅自私下谈判、变更成交标的、价格及采购文件、响应文件实质性内容的，将按《中华人民共和国政府采购法》及相关法规的规定处理。</w:t>
      </w:r>
    </w:p>
    <w:p>
      <w:pPr>
        <w:snapToGrid w:val="0"/>
        <w:spacing w:before="142" w:beforeLines="50" w:after="142" w:afterLines="50" w:line="560" w:lineRule="atLeast"/>
        <w:ind w:firstLine="556"/>
        <w:jc w:val="center"/>
        <w:rPr>
          <w:rFonts w:ascii="仿宋_GB2312" w:eastAsia="仿宋_GB2312"/>
          <w:b/>
          <w:sz w:val="32"/>
          <w:szCs w:val="32"/>
        </w:rPr>
      </w:pPr>
      <w:r>
        <w:rPr>
          <w:rFonts w:ascii="宋体" w:hAnsi="宋体" w:hint="eastAsia"/>
          <w:b/>
          <w:sz w:val="36"/>
          <w:szCs w:val="36"/>
        </w:rPr>
        <w:t>八、验收</w:t>
      </w:r>
    </w:p>
    <w:p>
      <w:pPr>
        <w:snapToGrid w:val="0"/>
        <w:spacing w:line="560" w:lineRule="atLeast"/>
        <w:rPr>
          <w:rFonts w:ascii="仿宋_GB2312" w:eastAsia="仿宋_GB2312"/>
          <w:sz w:val="28"/>
          <w:szCs w:val="28"/>
        </w:rPr>
      </w:pPr>
      <w:r>
        <w:rPr>
          <w:rFonts w:ascii="仿宋_GB2312" w:eastAsia="仿宋_GB2312" w:hint="eastAsia"/>
          <w:sz w:val="28"/>
          <w:szCs w:val="28"/>
        </w:rPr>
        <w:t>34.验收程序和要求</w:t>
      </w:r>
    </w:p>
    <w:p>
      <w:pPr>
        <w:snapToGrid w:val="0"/>
        <w:spacing w:line="560" w:lineRule="atLeast"/>
        <w:rPr>
          <w:rFonts w:ascii="仿宋_GB2312" w:eastAsia="仿宋_GB2312"/>
          <w:sz w:val="28"/>
          <w:szCs w:val="28"/>
        </w:rPr>
      </w:pPr>
      <w:r>
        <w:rPr>
          <w:rFonts w:ascii="仿宋_GB2312" w:eastAsia="仿宋_GB2312" w:hint="eastAsia"/>
          <w:sz w:val="28"/>
          <w:szCs w:val="28"/>
        </w:rPr>
        <w:t>34.1供应商履约完毕应及时提出验收申请，采购人应在五个工作日或在采购合同约定的期限内组织验收。</w:t>
      </w:r>
    </w:p>
    <w:p>
      <w:pPr>
        <w:snapToGrid w:val="0"/>
        <w:spacing w:line="560" w:lineRule="atLeast"/>
        <w:rPr>
          <w:rFonts w:ascii="仿宋_GB2312" w:eastAsia="仿宋_GB2312"/>
          <w:sz w:val="28"/>
          <w:szCs w:val="28"/>
        </w:rPr>
      </w:pPr>
      <w:r>
        <w:rPr>
          <w:rFonts w:ascii="仿宋_GB2312" w:eastAsia="仿宋_GB2312" w:hint="eastAsia"/>
          <w:sz w:val="28"/>
          <w:szCs w:val="28"/>
        </w:rPr>
        <w:t>34.2合同履约验收工作应成立验收工作组专门负责，直接参与该项目政府采购活动的主要责任人不得作为验收工作的主要责任人。</w:t>
      </w:r>
    </w:p>
    <w:p>
      <w:pPr>
        <w:snapToGrid w:val="0"/>
        <w:spacing w:line="560" w:lineRule="atLeast"/>
        <w:rPr>
          <w:rFonts w:ascii="仿宋_GB2312" w:eastAsia="仿宋_GB2312"/>
          <w:sz w:val="28"/>
          <w:szCs w:val="28"/>
        </w:rPr>
      </w:pPr>
      <w:r>
        <w:rPr>
          <w:rFonts w:ascii="仿宋_GB2312" w:eastAsia="仿宋_GB2312" w:hint="eastAsia"/>
          <w:sz w:val="28"/>
          <w:szCs w:val="28"/>
        </w:rPr>
        <w:t>34.3政府采购合同金额10万元以下的项目，以及品牌小汽车、办公家具、空调、办公自动化设备等4类通用商品的验收，原则上可以不邀请评审专家参加，组织方成立验收小组自行验收。政府采购合同金额50万元以下的（含50万元）的项目，验收工作组应不少于三人；政府采购合同金额50万元以上的项目，验收工作组应由采购人领导牵头，财务、审计、监察、资产管理、技术等部门人员参与，成员不少于五人。验收工作应当邀请采购项目评审专家参加验收；大型、复杂或者技术性很强的政府采购项目，应当邀请国家认可的质量检测机构参加验收工作；国家规定强制性检测的采购项目，采购人必须委托国家认可专业检测机构进行验收；向社会公众提供的公共服务采购项目，采购人组织验收时应当邀请服务对象参与并出具意见。</w:t>
      </w:r>
    </w:p>
    <w:p>
      <w:pPr>
        <w:snapToGrid w:val="0"/>
        <w:spacing w:line="560" w:lineRule="atLeast"/>
        <w:rPr>
          <w:rFonts w:ascii="仿宋_GB2312" w:eastAsia="仿宋_GB2312"/>
          <w:sz w:val="28"/>
          <w:szCs w:val="28"/>
        </w:rPr>
      </w:pPr>
      <w:r>
        <w:rPr>
          <w:rFonts w:ascii="仿宋_GB2312" w:eastAsia="仿宋_GB2312" w:hint="eastAsia"/>
          <w:sz w:val="28"/>
          <w:szCs w:val="28"/>
        </w:rPr>
        <w:t>34.4验收时需要进行破坏性试验的，成交供应商应进行充分的配合并提供备品备件。</w:t>
      </w:r>
    </w:p>
    <w:p>
      <w:pPr>
        <w:snapToGrid w:val="0"/>
        <w:spacing w:line="560" w:lineRule="atLeast"/>
        <w:rPr>
          <w:rFonts w:ascii="仿宋_GB2312" w:eastAsia="仿宋_GB2312"/>
          <w:sz w:val="28"/>
          <w:szCs w:val="28"/>
        </w:rPr>
      </w:pPr>
      <w:r>
        <w:rPr>
          <w:rFonts w:ascii="仿宋_GB2312" w:eastAsia="仿宋_GB2312" w:hint="eastAsia"/>
          <w:sz w:val="28"/>
          <w:szCs w:val="28"/>
        </w:rPr>
        <w:t>34.5验收后，由验收工作组等出具检测验收报告，国家规定强制性检测的采购项目应附国家认可的专业检测机构出具的验收报告。</w:t>
      </w:r>
    </w:p>
    <w:p>
      <w:pPr>
        <w:snapToGrid w:val="0"/>
        <w:spacing w:line="560" w:lineRule="atLeast"/>
        <w:rPr>
          <w:rFonts w:ascii="仿宋_GB2312" w:eastAsia="仿宋_GB2312"/>
          <w:sz w:val="28"/>
          <w:szCs w:val="28"/>
        </w:rPr>
      </w:pPr>
      <w:r>
        <w:rPr>
          <w:rFonts w:ascii="仿宋_GB2312" w:eastAsia="仿宋_GB2312" w:hint="eastAsia"/>
          <w:sz w:val="28"/>
          <w:szCs w:val="28"/>
        </w:rPr>
        <w:t>34.6验收中发现成交供应商未按合同约定的时间、地点或方式履约，提供的货物或工程的数量、质量、性能、功能达不到合同约定的，或者提供假冒伪劣产品等违反合同约定的，验收人员应在验收报告中注明违约情形和事项，并应及时通知同级人民政府财政部门。属假冒伪劣产品的，同时向工商管理、质量监督等行政执法部门举报。</w:t>
      </w:r>
    </w:p>
    <w:p>
      <w:pPr>
        <w:snapToGrid w:val="0"/>
        <w:spacing w:line="560" w:lineRule="atLeast"/>
        <w:rPr>
          <w:rFonts w:ascii="仿宋_GB2312" w:eastAsia="仿宋_GB2312" w:hint="eastAsia"/>
          <w:sz w:val="28"/>
          <w:szCs w:val="28"/>
        </w:rPr>
      </w:pPr>
      <w:r>
        <w:rPr>
          <w:rFonts w:ascii="仿宋_GB2312" w:eastAsia="仿宋_GB2312" w:hint="eastAsia"/>
          <w:sz w:val="28"/>
          <w:szCs w:val="28"/>
        </w:rPr>
        <w:t>34.7采购人要在政府采购项目验收完成后1个工作日内登陆安阳市政府采购网进行验收公告。</w:t>
      </w:r>
    </w:p>
    <w:p>
      <w:pPr>
        <w:snapToGrid w:val="0"/>
        <w:spacing w:before="142" w:beforeLines="50" w:after="142" w:afterLines="50" w:line="560" w:lineRule="atLeast"/>
        <w:ind w:firstLine="556"/>
        <w:jc w:val="center"/>
        <w:rPr>
          <w:rFonts w:ascii="宋体" w:eastAsia="宋体" w:hAnsi="宋体" w:cs="Times New Roman" w:hint="eastAsia"/>
          <w:b/>
          <w:sz w:val="36"/>
          <w:szCs w:val="36"/>
        </w:rPr>
      </w:pPr>
      <w:r>
        <w:rPr>
          <w:rFonts w:ascii="宋体" w:eastAsia="宋体" w:hAnsi="宋体" w:cs="Times New Roman" w:hint="eastAsia"/>
          <w:b/>
          <w:sz w:val="36"/>
          <w:szCs w:val="36"/>
        </w:rPr>
        <w:t>九、代理服务费</w:t>
      </w:r>
    </w:p>
    <w:p>
      <w:pPr>
        <w:snapToGrid w:val="0"/>
        <w:spacing w:line="560" w:lineRule="atLeast"/>
        <w:rPr>
          <w:rFonts w:ascii="仿宋_GB2312" w:eastAsia="仿宋_GB2312" w:hAnsi="Times New Roman" w:cs="Times New Roman" w:hint="eastAsia"/>
          <w:sz w:val="28"/>
          <w:szCs w:val="28"/>
          <w:highlight w:val="none"/>
        </w:rPr>
      </w:pPr>
      <w:r>
        <w:rPr>
          <w:rFonts w:ascii="仿宋_GB2312" w:eastAsia="仿宋_GB2312" w:hAnsi="Times New Roman" w:cs="Times New Roman" w:hint="eastAsia"/>
          <w:sz w:val="28"/>
          <w:szCs w:val="28"/>
          <w:highlight w:val="none"/>
        </w:rPr>
        <w:t>35.代理服务费收费依据及具体金额</w:t>
      </w:r>
    </w:p>
    <w:p>
      <w:pPr>
        <w:snapToGrid w:val="0"/>
        <w:spacing w:line="560" w:lineRule="atLeast"/>
        <w:rPr>
          <w:rFonts w:ascii="仿宋_GB2312" w:eastAsia="仿宋_GB2312" w:hint="eastAsia"/>
          <w:sz w:val="28"/>
          <w:szCs w:val="28"/>
          <w:highlight w:val="none"/>
        </w:rPr>
      </w:pPr>
      <w:r>
        <w:rPr>
          <w:rFonts w:ascii="仿宋_GB2312" w:eastAsia="仿宋_GB2312" w:hAnsi="Times New Roman" w:cs="Times New Roman" w:hint="eastAsia"/>
          <w:sz w:val="28"/>
          <w:szCs w:val="28"/>
          <w:highlight w:val="none"/>
        </w:rPr>
        <w:t>35.1本项目代理服务费参照国家计委《招标代理服务收费管理暂行办法》（计价格【2002】1980号）、《国家发展和改革委员会办公厅关于招标代理服务费有关问题的通知》（发改办价格【2003】857号）及发改价格【2011】534号文件的规定。招标代理服务费由成交供应商支付，发放成交通知书前成交供应商须一次性缴纳。</w:t>
      </w:r>
    </w:p>
    <w:p>
      <w:pPr>
        <w:pStyle w:val="Heading1"/>
        <w:keepNext/>
        <w:keepLines/>
        <w:pageBreakBefore/>
        <w:widowControl w:val="0"/>
        <w:kinsoku/>
        <w:wordWrap/>
        <w:overflowPunct/>
        <w:topLinePunct w:val="0"/>
        <w:autoSpaceDE/>
        <w:autoSpaceDN/>
        <w:bidi w:val="0"/>
        <w:adjustRightInd w:val="0"/>
        <w:snapToGrid/>
        <w:spacing w:before="0" w:after="0" w:line="579" w:lineRule="auto"/>
        <w:ind w:right="-420" w:rightChars="-200"/>
        <w:jc w:val="center"/>
        <w:textAlignment w:val="auto"/>
        <w:rPr>
          <w:rFonts w:ascii="宋体" w:hAnsi="宋体"/>
        </w:rPr>
      </w:pPr>
      <w:bookmarkStart w:id="8" w:name="_Toc51833325"/>
      <w:r>
        <w:rPr>
          <w:rFonts w:ascii="宋体" w:hAnsi="宋体" w:hint="eastAsia"/>
        </w:rPr>
        <w:t>第四部分    合同</w:t>
      </w:r>
      <w:bookmarkEnd w:id="8"/>
    </w:p>
    <w:p>
      <w:pPr>
        <w:snapToGrid w:val="0"/>
        <w:spacing w:line="560" w:lineRule="atLeast"/>
        <w:rPr>
          <w:rFonts w:ascii="仿宋_GB2312" w:eastAsia="仿宋_GB2312" w:hint="eastAsia"/>
          <w:sz w:val="28"/>
          <w:szCs w:val="28"/>
        </w:rPr>
      </w:pPr>
      <w:bookmarkStart w:id="9" w:name="_Toc51833326"/>
      <w:r>
        <w:rPr>
          <w:rFonts w:ascii="仿宋_GB2312" w:eastAsia="仿宋_GB2312" w:hint="eastAsia"/>
          <w:sz w:val="28"/>
          <w:szCs w:val="28"/>
        </w:rPr>
        <w:t>合同编号：</w:t>
      </w:r>
    </w:p>
    <w:p>
      <w:pPr>
        <w:snapToGrid w:val="0"/>
        <w:spacing w:line="560" w:lineRule="atLeast"/>
        <w:rPr>
          <w:rFonts w:ascii="仿宋_GB2312" w:eastAsia="仿宋_GB2312" w:hint="eastAsia"/>
          <w:sz w:val="28"/>
          <w:szCs w:val="28"/>
        </w:rPr>
      </w:pPr>
      <w:r>
        <w:rPr>
          <w:rFonts w:ascii="仿宋_GB2312" w:eastAsia="仿宋_GB2312" w:hint="eastAsia"/>
          <w:sz w:val="28"/>
          <w:szCs w:val="28"/>
        </w:rPr>
        <w:t>甲方：（采购人）</w:t>
      </w:r>
    </w:p>
    <w:p>
      <w:pPr>
        <w:snapToGrid w:val="0"/>
        <w:spacing w:line="560" w:lineRule="atLeast"/>
        <w:rPr>
          <w:rFonts w:ascii="仿宋_GB2312" w:eastAsia="仿宋_GB2312" w:hint="eastAsia"/>
          <w:sz w:val="28"/>
          <w:szCs w:val="28"/>
        </w:rPr>
      </w:pPr>
      <w:r>
        <w:rPr>
          <w:rFonts w:ascii="仿宋_GB2312" w:eastAsia="仿宋_GB2312" w:hint="eastAsia"/>
          <w:sz w:val="28"/>
          <w:szCs w:val="28"/>
        </w:rPr>
        <w:t>乙方：（供应商）</w:t>
      </w:r>
    </w:p>
    <w:p>
      <w:pPr>
        <w:snapToGrid w:val="0"/>
        <w:spacing w:line="560" w:lineRule="atLeast"/>
        <w:rPr>
          <w:rFonts w:ascii="仿宋_GB2312" w:eastAsia="仿宋_GB2312" w:hint="eastAsia"/>
          <w:sz w:val="28"/>
          <w:szCs w:val="28"/>
        </w:rPr>
      </w:pPr>
      <w:r>
        <w:rPr>
          <w:rFonts w:ascii="仿宋_GB2312" w:eastAsia="仿宋_GB2312" w:hint="eastAsia"/>
          <w:sz w:val="28"/>
          <w:szCs w:val="28"/>
        </w:rPr>
        <w:t>甲、乙双方持招标采购服务</w:t>
      </w:r>
      <w:r>
        <w:rPr>
          <w:rFonts w:ascii="仿宋_GB2312" w:eastAsia="仿宋_GB2312" w:hint="eastAsia"/>
          <w:sz w:val="28"/>
          <w:szCs w:val="28"/>
          <w:lang w:eastAsia="zh-CN"/>
        </w:rPr>
        <w:t>之京城市管理集团有限责任公司</w:t>
      </w:r>
      <w:r>
        <w:rPr>
          <w:rFonts w:ascii="仿宋_GB2312" w:eastAsia="仿宋_GB2312" w:hint="eastAsia"/>
          <w:sz w:val="28"/>
          <w:szCs w:val="28"/>
        </w:rPr>
        <w:t>202</w:t>
      </w:r>
      <w:r>
        <w:rPr>
          <w:rFonts w:ascii="仿宋_GB2312" w:eastAsia="仿宋_GB2312" w:hint="eastAsia"/>
          <w:sz w:val="28"/>
          <w:szCs w:val="28"/>
          <w:lang w:val="en-US" w:eastAsia="zh-CN"/>
        </w:rPr>
        <w:t>3</w:t>
      </w:r>
      <w:r>
        <w:rPr>
          <w:rFonts w:ascii="仿宋_GB2312" w:eastAsia="仿宋_GB2312" w:hint="eastAsia"/>
          <w:sz w:val="28"/>
          <w:szCs w:val="28"/>
        </w:rPr>
        <w:t>年 月  日签发的（</w:t>
      </w:r>
      <w:r>
        <w:rPr>
          <w:rFonts w:ascii="仿宋_GB2312" w:eastAsia="仿宋_GB2312" w:hint="eastAsia"/>
          <w:sz w:val="28"/>
          <w:szCs w:val="28"/>
          <w:u w:val="single"/>
        </w:rPr>
        <w:t>采购人及项目名称</w:t>
      </w:r>
      <w:r>
        <w:rPr>
          <w:rFonts w:ascii="仿宋_GB2312" w:eastAsia="仿宋_GB2312" w:hint="eastAsia"/>
          <w:sz w:val="28"/>
          <w:szCs w:val="28"/>
          <w:u w:val="single"/>
          <w:lang w:eastAsia="zh-CN"/>
        </w:rPr>
        <w:t>）</w:t>
      </w:r>
      <w:r>
        <w:rPr>
          <w:rFonts w:ascii="仿宋_GB2312" w:eastAsia="仿宋_GB2312" w:hint="eastAsia"/>
          <w:sz w:val="28"/>
          <w:szCs w:val="28"/>
          <w:u w:val="single"/>
        </w:rPr>
        <w:t>〔项目编号：      〕</w:t>
      </w:r>
      <w:r>
        <w:rPr>
          <w:rFonts w:ascii="仿宋_GB2312" w:eastAsia="仿宋_GB2312" w:hint="eastAsia"/>
          <w:sz w:val="28"/>
          <w:szCs w:val="28"/>
        </w:rPr>
        <w:t>成交通知书，根据采购文件及其修改补充澄清、投标文件及其修改补充澄清的内容，经双方平等协商一致，达成以下合同条款：</w:t>
      </w:r>
    </w:p>
    <w:p>
      <w:pPr>
        <w:snapToGrid w:val="0"/>
        <w:spacing w:line="560" w:lineRule="atLeast"/>
        <w:rPr>
          <w:rFonts w:ascii="仿宋_GB2312" w:eastAsia="仿宋_GB2312" w:hint="eastAsia"/>
          <w:sz w:val="28"/>
          <w:szCs w:val="28"/>
        </w:rPr>
      </w:pPr>
      <w:r>
        <w:rPr>
          <w:rFonts w:ascii="仿宋_GB2312" w:eastAsia="仿宋_GB2312" w:hint="eastAsia"/>
          <w:sz w:val="28"/>
          <w:szCs w:val="28"/>
        </w:rPr>
        <w:t>一、本合同所指服务为此次竞争性谈判的服务，包括（详细注明内容），合同总价款为</w:t>
      </w:r>
      <w:r>
        <w:rPr>
          <w:rFonts w:ascii="仿宋_GB2312" w:eastAsia="仿宋_GB2312" w:hint="eastAsia"/>
          <w:sz w:val="28"/>
          <w:szCs w:val="28"/>
          <w:u w:val="single"/>
          <w:lang w:val="en-US" w:eastAsia="zh-CN"/>
        </w:rPr>
        <w:t xml:space="preserve">        </w:t>
      </w:r>
      <w:r>
        <w:rPr>
          <w:rFonts w:ascii="仿宋_GB2312" w:eastAsia="仿宋_GB2312" w:hint="eastAsia"/>
          <w:sz w:val="28"/>
          <w:szCs w:val="28"/>
        </w:rPr>
        <w:t>元（大写：                 ）。</w:t>
      </w:r>
    </w:p>
    <w:p>
      <w:pPr>
        <w:snapToGrid w:val="0"/>
        <w:spacing w:line="560" w:lineRule="atLeast"/>
        <w:ind w:firstLine="560" w:firstLineChars="200"/>
        <w:rPr>
          <w:rFonts w:ascii="仿宋_GB2312" w:eastAsia="仿宋_GB2312" w:hint="eastAsia"/>
          <w:sz w:val="28"/>
          <w:szCs w:val="28"/>
          <w:highlight w:val="none"/>
        </w:rPr>
      </w:pPr>
      <w:r>
        <w:rPr>
          <w:rFonts w:ascii="仿宋_GB2312" w:eastAsia="仿宋_GB2312" w:hint="eastAsia"/>
          <w:sz w:val="28"/>
          <w:szCs w:val="28"/>
          <w:highlight w:val="none"/>
        </w:rPr>
        <w:t>本合同为固定总价合同，不因人工、费用、材料和设备等价格的波动而影响合同价格。</w:t>
      </w:r>
    </w:p>
    <w:p>
      <w:pPr>
        <w:snapToGrid w:val="0"/>
        <w:spacing w:line="560" w:lineRule="atLeast"/>
        <w:rPr>
          <w:rFonts w:ascii="仿宋_GB2312" w:eastAsia="仿宋_GB2312" w:hint="eastAsia"/>
          <w:sz w:val="28"/>
          <w:szCs w:val="28"/>
        </w:rPr>
      </w:pPr>
      <w:r>
        <w:rPr>
          <w:rFonts w:ascii="仿宋_GB2312" w:eastAsia="仿宋_GB2312" w:hint="eastAsia"/>
          <w:sz w:val="28"/>
          <w:szCs w:val="28"/>
        </w:rPr>
        <w:t>二、服务质量要求及乙方对质量负责条件和期限：</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所提供的服务、人员、设备必须符合国家相关法律规定。</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应配置《司法鉴定机构仪器设备配置标准》中各类鉴定项目对应得必备仪器，所使用的计量工具、机器设备需定期取得法定计量鉴定机构颁发的校准/检定证书。</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根据项目需求提供详细服务管理方案，包括服务响应时间、服务机构设置情况、</w:t>
      </w:r>
      <w:r>
        <w:rPr>
          <w:rFonts w:ascii="仿宋_GB2312" w:eastAsia="仿宋_GB2312" w:cs="Times New Roman" w:hint="eastAsia"/>
          <w:sz w:val="28"/>
          <w:szCs w:val="28"/>
          <w:lang w:val="en-US" w:eastAsia="zh-CN"/>
        </w:rPr>
        <w:t>管理</w:t>
      </w:r>
      <w:r>
        <w:rPr>
          <w:rFonts w:ascii="仿宋_GB2312" w:eastAsia="仿宋_GB2312" w:hAnsi="Times New Roman" w:cs="Times New Roman" w:hint="eastAsia"/>
          <w:sz w:val="28"/>
          <w:szCs w:val="28"/>
          <w:lang w:val="en-US" w:eastAsia="zh-CN"/>
        </w:rPr>
        <w:t>人员配备情况、应急方案。</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需遵循报告时限要求，即 1 日内接收委托,2 日内完成检验，30 日内出具报告(若不能及时出具报告，拖延时间，拒绝接受委托，一次通报、两次扣除相应鉴定费用，三次</w:t>
      </w:r>
      <w:r>
        <w:rPr>
          <w:rFonts w:ascii="仿宋_GB2312" w:eastAsia="仿宋_GB2312" w:cs="Times New Roman" w:hint="eastAsia"/>
          <w:sz w:val="28"/>
          <w:szCs w:val="28"/>
          <w:lang w:val="en-US" w:eastAsia="zh-CN"/>
        </w:rPr>
        <w:t>甲方</w:t>
      </w:r>
      <w:r>
        <w:rPr>
          <w:rFonts w:ascii="仿宋_GB2312" w:eastAsia="仿宋_GB2312" w:hAnsi="Times New Roman" w:cs="Times New Roman" w:hint="eastAsia"/>
          <w:sz w:val="28"/>
          <w:szCs w:val="28"/>
          <w:lang w:val="en-US" w:eastAsia="zh-CN"/>
        </w:rPr>
        <w:t>有权单方解除此合同，</w:t>
      </w: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并承担合同总价款</w:t>
      </w:r>
      <w:r>
        <w:rPr>
          <w:rFonts w:ascii="仿宋_GB2312" w:eastAsia="仿宋_GB2312" w:hAnsi="Times New Roman" w:cs="Times New Roman" w:hint="eastAsia"/>
          <w:sz w:val="28"/>
          <w:szCs w:val="28"/>
          <w:u w:val="single"/>
          <w:lang w:val="en-US" w:eastAsia="zh-CN"/>
        </w:rPr>
        <w:t xml:space="preserve"> 5%</w:t>
      </w:r>
      <w:r>
        <w:rPr>
          <w:rFonts w:ascii="仿宋_GB2312" w:eastAsia="仿宋_GB2312" w:hAnsi="Times New Roman" w:cs="Times New Roman" w:hint="eastAsia"/>
          <w:sz w:val="28"/>
          <w:szCs w:val="28"/>
          <w:lang w:val="en-US" w:eastAsia="zh-CN"/>
        </w:rPr>
        <w:t>的违约金，该违约金在</w:t>
      </w:r>
      <w:r>
        <w:rPr>
          <w:rFonts w:ascii="仿宋_GB2312" w:eastAsia="仿宋_GB2312" w:cs="Times New Roman" w:hint="eastAsia"/>
          <w:sz w:val="28"/>
          <w:szCs w:val="28"/>
          <w:lang w:val="en-US" w:eastAsia="zh-CN"/>
        </w:rPr>
        <w:t>甲方</w:t>
      </w:r>
      <w:r>
        <w:rPr>
          <w:rFonts w:ascii="仿宋_GB2312" w:eastAsia="仿宋_GB2312" w:hAnsi="Times New Roman" w:cs="Times New Roman" w:hint="eastAsia"/>
          <w:sz w:val="28"/>
          <w:szCs w:val="28"/>
          <w:lang w:val="en-US" w:eastAsia="zh-CN"/>
        </w:rPr>
        <w:t>结算时扣除)。对于敏感案件或者死亡追刑的案件，会在委托书中注明，应无条件配合鉴定及时完成报告，应在办案单位委托方要求时限天数内快速准确出具报告，并且出具的鉴定意见必须公平、公正、明确</w:t>
      </w:r>
      <w:r>
        <w:rPr>
          <w:rFonts w:ascii="仿宋_GB2312" w:eastAsia="仿宋_GB2312" w:cs="Times New Roman" w:hint="eastAsia"/>
          <w:sz w:val="28"/>
          <w:szCs w:val="28"/>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需承诺提供本地化服务，在安阳当地设置固定的服务场所，并配备相应的设备设施(如现场提取设备、便携检测设备及必要的交通工具等) 及相关检测人员。实行 24 小时值班制度，必须指定专门负责人与</w:t>
      </w:r>
      <w:r>
        <w:rPr>
          <w:rFonts w:ascii="仿宋_GB2312" w:eastAsia="仿宋_GB2312" w:cs="Times New Roman" w:hint="eastAsia"/>
          <w:sz w:val="28"/>
          <w:szCs w:val="28"/>
          <w:lang w:val="en-US" w:eastAsia="zh-CN"/>
        </w:rPr>
        <w:t>采购人</w:t>
      </w:r>
      <w:r>
        <w:rPr>
          <w:rFonts w:ascii="仿宋_GB2312" w:eastAsia="仿宋_GB2312" w:hAnsi="Times New Roman" w:cs="Times New Roman" w:hint="eastAsia"/>
          <w:sz w:val="28"/>
          <w:szCs w:val="28"/>
          <w:lang w:val="en-US" w:eastAsia="zh-CN"/>
        </w:rPr>
        <w:t>联系。</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hAnsi="Times New Roman" w:cs="Times New Roman" w:hint="eastAsia"/>
          <w:sz w:val="28"/>
          <w:szCs w:val="28"/>
          <w:lang w:val="en-US" w:eastAsia="zh-CN"/>
        </w:rPr>
      </w:pP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必须无条件接受</w:t>
      </w:r>
      <w:r>
        <w:rPr>
          <w:rFonts w:ascii="仿宋_GB2312" w:eastAsia="仿宋_GB2312" w:cs="Times New Roman" w:hint="eastAsia"/>
          <w:sz w:val="28"/>
          <w:szCs w:val="28"/>
          <w:lang w:val="en-US" w:eastAsia="zh-CN"/>
        </w:rPr>
        <w:t>甲方</w:t>
      </w:r>
      <w:r>
        <w:rPr>
          <w:rFonts w:ascii="仿宋_GB2312" w:eastAsia="仿宋_GB2312" w:hAnsi="Times New Roman" w:cs="Times New Roman" w:hint="eastAsia"/>
          <w:sz w:val="28"/>
          <w:szCs w:val="28"/>
          <w:lang w:val="en-US" w:eastAsia="zh-CN"/>
        </w:rPr>
        <w:t>相关技术人员的业务监督，同时承诺《公安机关鉴规则》第 18 条实施后，积极配合</w:t>
      </w:r>
      <w:r>
        <w:rPr>
          <w:rFonts w:ascii="仿宋_GB2312" w:eastAsia="仿宋_GB2312" w:cs="Times New Roman" w:hint="eastAsia"/>
          <w:sz w:val="28"/>
          <w:szCs w:val="28"/>
          <w:lang w:val="en-US" w:eastAsia="zh-CN"/>
        </w:rPr>
        <w:t>甲方</w:t>
      </w:r>
      <w:r>
        <w:rPr>
          <w:rFonts w:ascii="仿宋_GB2312" w:eastAsia="仿宋_GB2312" w:hAnsi="Times New Roman" w:cs="Times New Roman" w:hint="eastAsia"/>
          <w:sz w:val="28"/>
          <w:szCs w:val="28"/>
          <w:lang w:val="en-US" w:eastAsia="zh-CN"/>
        </w:rPr>
        <w:t>办理相关手续。</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hAnsi="Times New Roman" w:cs="Times New Roman" w:hint="eastAsia"/>
          <w:sz w:val="28"/>
          <w:szCs w:val="28"/>
          <w:lang w:val="en-US" w:eastAsia="zh-CN"/>
        </w:rPr>
      </w:pPr>
      <w:r>
        <w:rPr>
          <w:rFonts w:ascii="仿宋_GB2312" w:eastAsia="仿宋_GB2312" w:hAnsi="Times New Roman" w:cs="Times New Roman" w:hint="eastAsia"/>
          <w:sz w:val="28"/>
          <w:szCs w:val="28"/>
          <w:lang w:val="en-US" w:eastAsia="zh-CN"/>
        </w:rPr>
        <w:t>若发现</w:t>
      </w: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超过时限 3 次以上、不按照约定时间达到检验 3 次以上不接受甲方监管等行为，</w:t>
      </w:r>
      <w:r>
        <w:rPr>
          <w:rFonts w:ascii="仿宋_GB2312" w:eastAsia="仿宋_GB2312" w:cs="Times New Roman" w:hint="eastAsia"/>
          <w:sz w:val="28"/>
          <w:szCs w:val="28"/>
          <w:lang w:val="en-US" w:eastAsia="zh-CN"/>
        </w:rPr>
        <w:t>甲方</w:t>
      </w:r>
      <w:r>
        <w:rPr>
          <w:rFonts w:ascii="仿宋_GB2312" w:eastAsia="仿宋_GB2312" w:hAnsi="Times New Roman" w:cs="Times New Roman" w:hint="eastAsia"/>
          <w:sz w:val="28"/>
          <w:szCs w:val="28"/>
          <w:lang w:val="en-US" w:eastAsia="zh-CN"/>
        </w:rPr>
        <w:t>有权单方解除合同;一旦发现</w:t>
      </w: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有主观原因导致错鉴一次、非主观原因错鉴 3 次，则</w:t>
      </w:r>
      <w:r>
        <w:rPr>
          <w:rFonts w:ascii="仿宋_GB2312" w:eastAsia="仿宋_GB2312" w:cs="Times New Roman" w:hint="eastAsia"/>
          <w:sz w:val="28"/>
          <w:szCs w:val="28"/>
          <w:lang w:val="en-US" w:eastAsia="zh-CN"/>
        </w:rPr>
        <w:t>甲方</w:t>
      </w:r>
      <w:r>
        <w:rPr>
          <w:rFonts w:ascii="仿宋_GB2312" w:eastAsia="仿宋_GB2312" w:hAnsi="Times New Roman" w:cs="Times New Roman" w:hint="eastAsia"/>
          <w:sz w:val="28"/>
          <w:szCs w:val="28"/>
          <w:lang w:val="en-US" w:eastAsia="zh-CN"/>
        </w:rPr>
        <w:t>有权解除合同，并退还该案鉴定费用。由此造成的一切后果由</w:t>
      </w: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负责，</w:t>
      </w:r>
      <w:r>
        <w:rPr>
          <w:rFonts w:ascii="仿宋_GB2312" w:eastAsia="仿宋_GB2312" w:cs="Times New Roman" w:hint="eastAsia"/>
          <w:sz w:val="28"/>
          <w:szCs w:val="28"/>
          <w:lang w:val="en-US" w:eastAsia="zh-CN"/>
        </w:rPr>
        <w:t>甲方</w:t>
      </w:r>
      <w:r>
        <w:rPr>
          <w:rFonts w:ascii="仿宋_GB2312" w:eastAsia="仿宋_GB2312" w:hAnsi="Times New Roman" w:cs="Times New Roman" w:hint="eastAsia"/>
          <w:sz w:val="28"/>
          <w:szCs w:val="28"/>
          <w:lang w:val="en-US" w:eastAsia="zh-CN"/>
        </w:rPr>
        <w:t>不承担任何责任。</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cs="Times New Roman" w:hint="eastAsia"/>
          <w:sz w:val="28"/>
          <w:szCs w:val="28"/>
          <w:lang w:val="en-US" w:eastAsia="zh-CN"/>
        </w:rPr>
      </w:pPr>
      <w:r>
        <w:rPr>
          <w:rFonts w:ascii="仿宋_GB2312" w:eastAsia="仿宋_GB2312" w:cs="Times New Roman" w:hint="eastAsia"/>
          <w:sz w:val="28"/>
          <w:szCs w:val="28"/>
          <w:lang w:val="en-US" w:eastAsia="zh-CN"/>
        </w:rPr>
        <w:t>乙方</w:t>
      </w:r>
      <w:r>
        <w:rPr>
          <w:rFonts w:ascii="仿宋_GB2312" w:eastAsia="仿宋_GB2312" w:hAnsi="Times New Roman" w:cs="Times New Roman" w:hint="eastAsia"/>
          <w:sz w:val="28"/>
          <w:szCs w:val="28"/>
          <w:lang w:val="en-US" w:eastAsia="zh-CN"/>
        </w:rPr>
        <w:t>所出具的检验鉴定意见书如被人民法院质证无效，造成案件无法办理而引</w:t>
      </w:r>
      <w:r>
        <w:rPr>
          <w:rFonts w:ascii="仿宋_GB2312" w:eastAsia="仿宋_GB2312" w:cs="Times New Roman" w:hint="eastAsia"/>
          <w:sz w:val="28"/>
          <w:szCs w:val="28"/>
          <w:lang w:val="en-US" w:eastAsia="zh-CN"/>
        </w:rPr>
        <w:t>起的后果由乙方承担，本合同终止，并退还已支付的鉴定费用。甲方不承担任何责任。</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cs="Times New Roman" w:hint="eastAsia"/>
          <w:sz w:val="28"/>
          <w:szCs w:val="28"/>
          <w:lang w:val="en-US" w:eastAsia="zh-CN"/>
        </w:rPr>
      </w:pPr>
      <w:r>
        <w:rPr>
          <w:rFonts w:ascii="仿宋_GB2312" w:eastAsia="仿宋_GB2312" w:cs="Times New Roman" w:hint="eastAsia"/>
          <w:sz w:val="28"/>
          <w:szCs w:val="28"/>
          <w:lang w:val="en-US" w:eastAsia="zh-CN"/>
        </w:rPr>
        <w:t>乙方必须对所涉及的公安工作秘密、业务需求、协议、系统设计、技术成果等以及鉴定当中涉及公民信息,车辆信息，公安监控等涉及警务信息等内容和相关事务保密。并严格遵守保密法规和采购人的工作要求。</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cs="Times New Roman" w:hint="eastAsia"/>
          <w:sz w:val="28"/>
          <w:szCs w:val="28"/>
          <w:lang w:val="en-US" w:eastAsia="zh-CN"/>
        </w:rPr>
      </w:pPr>
      <w:r>
        <w:rPr>
          <w:rFonts w:ascii="仿宋_GB2312" w:eastAsia="仿宋_GB2312" w:cs="Times New Roman" w:hint="eastAsia"/>
          <w:sz w:val="28"/>
          <w:szCs w:val="28"/>
          <w:lang w:val="en-US" w:eastAsia="zh-CN"/>
        </w:rPr>
        <w:t>服务内容明细中鉴定项目为主要常见鉴定服务项目。若项目执行过程中发生属于业务范围的其他鉴定项目，其收费标准须按国家规定的收费标准收费，并报经甲方同意。</w:t>
      </w:r>
    </w:p>
    <w:p>
      <w:pPr>
        <w:keepNext w:val="0"/>
        <w:keepLines w:val="0"/>
        <w:pageBreakBefore w:val="0"/>
        <w:widowControl w:val="0"/>
        <w:numPr>
          <w:ilvl w:val="0"/>
          <w:numId w:val="6"/>
        </w:numPr>
        <w:kinsoku/>
        <w:wordWrap/>
        <w:overflowPunct/>
        <w:topLinePunct w:val="0"/>
        <w:autoSpaceDE/>
        <w:autoSpaceDN/>
        <w:bidi w:val="0"/>
        <w:adjustRightInd/>
        <w:snapToGrid w:val="0"/>
        <w:spacing w:line="560" w:lineRule="atLeast"/>
        <w:ind w:left="0" w:firstLine="0" w:leftChars="0" w:firstLineChars="0"/>
        <w:textAlignment w:val="auto"/>
        <w:rPr>
          <w:rFonts w:ascii="仿宋_GB2312" w:eastAsia="仿宋_GB2312" w:cs="Times New Roman" w:hint="eastAsia"/>
          <w:sz w:val="28"/>
          <w:szCs w:val="28"/>
          <w:lang w:val="en-US" w:eastAsia="zh-CN"/>
        </w:rPr>
      </w:pPr>
      <w:r>
        <w:rPr>
          <w:rFonts w:ascii="仿宋_GB2312" w:eastAsia="仿宋_GB2312" w:cs="Times New Roman" w:hint="eastAsia"/>
          <w:sz w:val="28"/>
          <w:szCs w:val="28"/>
          <w:lang w:val="en-US" w:eastAsia="zh-CN"/>
        </w:rPr>
        <w:t>甲方应给予乙方必要的工作协助，规范委托程序，共同做好痕迹类检验鉴定工作。</w:t>
      </w:r>
    </w:p>
    <w:p>
      <w:pPr>
        <w:snapToGrid w:val="0"/>
        <w:spacing w:line="560" w:lineRule="atLeast"/>
        <w:rPr>
          <w:rFonts w:ascii="仿宋_GB2312" w:eastAsia="仿宋_GB2312" w:hint="eastAsia"/>
          <w:sz w:val="28"/>
          <w:szCs w:val="28"/>
        </w:rPr>
      </w:pPr>
      <w:r>
        <w:rPr>
          <w:rFonts w:ascii="仿宋_GB2312" w:eastAsia="仿宋_GB2312" w:hint="eastAsia"/>
          <w:sz w:val="28"/>
          <w:szCs w:val="28"/>
        </w:rPr>
        <w:t>12、不可抗力</w:t>
      </w:r>
    </w:p>
    <w:p>
      <w:pPr>
        <w:snapToGrid w:val="0"/>
        <w:spacing w:line="560" w:lineRule="atLeast"/>
        <w:rPr>
          <w:rFonts w:ascii="仿宋_GB2312" w:eastAsia="仿宋_GB2312" w:hint="eastAsia"/>
          <w:sz w:val="28"/>
          <w:szCs w:val="28"/>
        </w:rPr>
      </w:pPr>
      <w:r>
        <w:rPr>
          <w:rFonts w:ascii="仿宋_GB2312" w:eastAsia="仿宋_GB2312" w:hint="eastAsia"/>
          <w:sz w:val="28"/>
          <w:szCs w:val="28"/>
        </w:rPr>
        <w:t>1)在本合同履行过程中，就道路交通事故处理相关国家法律法规政策如出现变化或修改，致使合同的约定与其不一致的，则双方的权利和义务自动遵从国家的法律法规政策的变化而调整。如调整过大，致使一方的权利义务显著不公平时，视为不可抗力情形，双方均有权提出解除合同，不负违约责任。</w:t>
      </w:r>
    </w:p>
    <w:p>
      <w:pPr>
        <w:snapToGrid w:val="0"/>
        <w:spacing w:line="560" w:lineRule="atLeast"/>
        <w:rPr>
          <w:rFonts w:ascii="仿宋_GB2312" w:eastAsia="仿宋_GB2312" w:hint="eastAsia"/>
          <w:sz w:val="28"/>
          <w:szCs w:val="28"/>
        </w:rPr>
      </w:pPr>
      <w:r>
        <w:rPr>
          <w:rFonts w:ascii="仿宋_GB2312" w:eastAsia="仿宋_GB2312" w:hint="eastAsia"/>
          <w:sz w:val="28"/>
          <w:szCs w:val="28"/>
        </w:rPr>
        <w:t>2) 如双方任何一方由于战争、严重火灾、洪水、台风、地震等不可抗力的事故，致使影响合同履行时，履行合同的期限应予延长，延长的期限应相当于事故所影响的时间，不可抗力事故系指双方在缔结合同时所不能预见的，并且它的发生及其后果是无法避免和无法克服的事故。</w:t>
      </w:r>
    </w:p>
    <w:p>
      <w:pPr>
        <w:snapToGrid w:val="0"/>
        <w:spacing w:line="560" w:lineRule="atLeast"/>
        <w:rPr>
          <w:rFonts w:ascii="仿宋_GB2312" w:eastAsia="仿宋_GB2312" w:hint="eastAsia"/>
          <w:sz w:val="28"/>
          <w:szCs w:val="28"/>
        </w:rPr>
      </w:pPr>
      <w:r>
        <w:rPr>
          <w:rFonts w:ascii="仿宋_GB2312" w:eastAsia="仿宋_GB2312" w:hint="eastAsia"/>
          <w:sz w:val="28"/>
          <w:szCs w:val="28"/>
        </w:rPr>
        <w:t>3) 甲乙双方的任何一方由于不可抗力的原因不能履行合同时，应及时向对方通报不能履行或不能完全履行的理由，在取得有关主管机关证明后，允许延期履行、部分履行或不履行合同，并根据情况可部分或是全部免予承担违约责任。</w:t>
      </w:r>
    </w:p>
    <w:p>
      <w:pPr>
        <w:snapToGrid w:val="0"/>
        <w:spacing w:line="560" w:lineRule="atLeast"/>
        <w:rPr>
          <w:rFonts w:ascii="仿宋_GB2312" w:eastAsia="仿宋_GB2312" w:hint="eastAsia"/>
          <w:sz w:val="28"/>
          <w:szCs w:val="28"/>
        </w:rPr>
      </w:pPr>
      <w:r>
        <w:rPr>
          <w:rFonts w:ascii="仿宋_GB2312" w:eastAsia="仿宋_GB2312" w:hint="eastAsia"/>
          <w:sz w:val="28"/>
          <w:szCs w:val="28"/>
        </w:rPr>
        <w:t>三、服务时间、地点、方式：</w:t>
      </w:r>
    </w:p>
    <w:p>
      <w:pPr>
        <w:snapToGrid w:val="0"/>
        <w:spacing w:line="560" w:lineRule="atLeast"/>
        <w:rPr>
          <w:rFonts w:ascii="仿宋_GB2312" w:eastAsia="仿宋_GB2312" w:hint="eastAsia"/>
          <w:sz w:val="28"/>
          <w:szCs w:val="28"/>
        </w:rPr>
      </w:pPr>
      <w:r>
        <w:rPr>
          <w:rFonts w:ascii="仿宋_GB2312" w:eastAsia="仿宋_GB2312" w:hint="eastAsia"/>
          <w:sz w:val="28"/>
          <w:szCs w:val="28"/>
        </w:rPr>
        <w:t xml:space="preserve">服务时间: </w:t>
      </w:r>
      <w:r>
        <w:rPr>
          <w:rFonts w:ascii="仿宋_GB2312" w:eastAsia="仿宋_GB2312" w:hint="eastAsia"/>
          <w:sz w:val="28"/>
          <w:szCs w:val="28"/>
          <w:lang w:val="en-US" w:eastAsia="zh-CN"/>
        </w:rPr>
        <w:t xml:space="preserve">   </w:t>
      </w:r>
      <w:r>
        <w:rPr>
          <w:rFonts w:ascii="仿宋_GB2312" w:eastAsia="仿宋_GB2312" w:hint="eastAsia"/>
          <w:sz w:val="28"/>
          <w:szCs w:val="28"/>
        </w:rPr>
        <w:t xml:space="preserve">年 </w:t>
      </w:r>
      <w:r>
        <w:rPr>
          <w:rFonts w:ascii="仿宋_GB2312" w:eastAsia="仿宋_GB2312" w:hint="eastAsia"/>
          <w:sz w:val="28"/>
          <w:szCs w:val="28"/>
          <w:lang w:val="en-US" w:eastAsia="zh-CN"/>
        </w:rPr>
        <w:t xml:space="preserve"> </w:t>
      </w:r>
      <w:r>
        <w:rPr>
          <w:rFonts w:ascii="仿宋_GB2312" w:eastAsia="仿宋_GB2312" w:hint="eastAsia"/>
          <w:sz w:val="28"/>
          <w:szCs w:val="28"/>
        </w:rPr>
        <w:t xml:space="preserve"> 月</w:t>
      </w:r>
      <w:r>
        <w:rPr>
          <w:rFonts w:ascii="仿宋_GB2312" w:eastAsia="仿宋_GB2312" w:hint="eastAsia"/>
          <w:sz w:val="28"/>
          <w:szCs w:val="28"/>
          <w:lang w:val="en-US" w:eastAsia="zh-CN"/>
        </w:rPr>
        <w:t xml:space="preserve">   </w:t>
      </w:r>
      <w:r>
        <w:rPr>
          <w:rFonts w:ascii="仿宋_GB2312" w:eastAsia="仿宋_GB2312" w:hint="eastAsia"/>
          <w:sz w:val="28"/>
          <w:szCs w:val="28"/>
        </w:rPr>
        <w:t>日至</w:t>
      </w:r>
      <w:r>
        <w:rPr>
          <w:rFonts w:ascii="仿宋_GB2312" w:eastAsia="仿宋_GB2312" w:hint="eastAsia"/>
          <w:sz w:val="28"/>
          <w:szCs w:val="28"/>
          <w:lang w:val="en-US" w:eastAsia="zh-CN"/>
        </w:rPr>
        <w:t xml:space="preserve">   </w:t>
      </w:r>
      <w:r>
        <w:rPr>
          <w:rFonts w:ascii="仿宋_GB2312" w:eastAsia="仿宋_GB2312" w:hint="eastAsia"/>
          <w:sz w:val="28"/>
          <w:szCs w:val="28"/>
        </w:rPr>
        <w:t xml:space="preserve"> 年</w:t>
      </w:r>
      <w:r>
        <w:rPr>
          <w:rFonts w:ascii="仿宋_GB2312" w:eastAsia="仿宋_GB2312" w:hint="eastAsia"/>
          <w:sz w:val="28"/>
          <w:szCs w:val="28"/>
          <w:lang w:val="en-US" w:eastAsia="zh-CN"/>
        </w:rPr>
        <w:t xml:space="preserve">   </w:t>
      </w:r>
      <w:r>
        <w:rPr>
          <w:rFonts w:ascii="仿宋_GB2312" w:eastAsia="仿宋_GB2312" w:hint="eastAsia"/>
          <w:sz w:val="28"/>
          <w:szCs w:val="28"/>
        </w:rPr>
        <w:t>月</w:t>
      </w:r>
      <w:r>
        <w:rPr>
          <w:rFonts w:ascii="仿宋_GB2312" w:eastAsia="仿宋_GB2312" w:hint="eastAsia"/>
          <w:sz w:val="28"/>
          <w:szCs w:val="28"/>
          <w:lang w:val="en-US" w:eastAsia="zh-CN"/>
        </w:rPr>
        <w:t xml:space="preserve">   </w:t>
      </w:r>
      <w:r>
        <w:rPr>
          <w:rFonts w:ascii="仿宋_GB2312" w:eastAsia="仿宋_GB2312" w:hint="eastAsia"/>
          <w:sz w:val="28"/>
          <w:szCs w:val="28"/>
        </w:rPr>
        <w:t>日</w:t>
      </w:r>
    </w:p>
    <w:p>
      <w:pPr>
        <w:snapToGrid w:val="0"/>
        <w:spacing w:line="560" w:lineRule="atLeast"/>
        <w:rPr>
          <w:rFonts w:ascii="仿宋_GB2312" w:eastAsia="仿宋_GB2312" w:hint="eastAsia"/>
          <w:sz w:val="28"/>
          <w:szCs w:val="28"/>
        </w:rPr>
      </w:pPr>
      <w:r>
        <w:rPr>
          <w:rFonts w:ascii="仿宋_GB2312" w:eastAsia="仿宋_GB2312" w:hint="eastAsia"/>
          <w:sz w:val="28"/>
          <w:szCs w:val="28"/>
        </w:rPr>
        <w:t>服务地点:安阳市</w:t>
      </w:r>
    </w:p>
    <w:p>
      <w:pPr>
        <w:snapToGrid w:val="0"/>
        <w:spacing w:line="560" w:lineRule="atLeast"/>
        <w:rPr>
          <w:rFonts w:ascii="仿宋_GB2312" w:eastAsia="仿宋_GB2312" w:hint="eastAsia"/>
          <w:sz w:val="28"/>
          <w:szCs w:val="28"/>
        </w:rPr>
      </w:pPr>
      <w:r>
        <w:rPr>
          <w:rFonts w:ascii="仿宋_GB2312" w:eastAsia="仿宋_GB2312" w:hint="eastAsia"/>
          <w:sz w:val="28"/>
          <w:szCs w:val="28"/>
        </w:rPr>
        <w:t>服务方式:乙方依据甲方委托书委托的项目和内容要求受理检验鉴定业务，及时组织现场勘验，并在约定时间内出具合法的鉴定意见书。</w:t>
      </w:r>
    </w:p>
    <w:p>
      <w:pPr>
        <w:snapToGrid w:val="0"/>
        <w:spacing w:line="560" w:lineRule="atLeast"/>
        <w:rPr>
          <w:rFonts w:ascii="仿宋_GB2312" w:eastAsia="仿宋_GB2312" w:hint="eastAsia"/>
          <w:sz w:val="28"/>
          <w:szCs w:val="28"/>
        </w:rPr>
      </w:pPr>
      <w:r>
        <w:rPr>
          <w:rFonts w:ascii="仿宋_GB2312" w:eastAsia="仿宋_GB2312" w:hint="eastAsia"/>
          <w:sz w:val="28"/>
          <w:szCs w:val="28"/>
        </w:rPr>
        <w:t>四、验收程序和要求</w:t>
      </w:r>
    </w:p>
    <w:p>
      <w:pPr>
        <w:snapToGrid w:val="0"/>
        <w:spacing w:line="560" w:lineRule="atLeast"/>
        <w:rPr>
          <w:rFonts w:ascii="仿宋_GB2312" w:eastAsia="仿宋_GB2312" w:hint="eastAsia"/>
          <w:sz w:val="28"/>
          <w:szCs w:val="28"/>
          <w:lang w:val="zh-CN"/>
        </w:rPr>
      </w:pPr>
      <w:r>
        <w:rPr>
          <w:rFonts w:ascii="仿宋_GB2312" w:eastAsia="仿宋_GB2312" w:hint="eastAsia"/>
          <w:sz w:val="28"/>
          <w:szCs w:val="28"/>
          <w:lang w:val="zh-CN"/>
        </w:rPr>
        <w:t>1、验收时间：项目具备验收条件时，由采购</w:t>
      </w:r>
      <w:r>
        <w:rPr>
          <w:rFonts w:ascii="仿宋_GB2312" w:eastAsia="仿宋_GB2312" w:hint="eastAsia"/>
          <w:sz w:val="28"/>
          <w:szCs w:val="28"/>
        </w:rPr>
        <w:t>人</w:t>
      </w:r>
      <w:r>
        <w:rPr>
          <w:rFonts w:ascii="仿宋_GB2312" w:eastAsia="仿宋_GB2312" w:hint="eastAsia"/>
          <w:sz w:val="28"/>
          <w:szCs w:val="28"/>
          <w:lang w:val="zh-CN"/>
        </w:rPr>
        <w:t>成立验收工作组负责验收。</w:t>
      </w:r>
      <w:r>
        <w:rPr>
          <w:rFonts w:ascii="仿宋_GB2312" w:eastAsia="仿宋_GB2312" w:hint="eastAsia"/>
          <w:sz w:val="28"/>
          <w:szCs w:val="28"/>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snapToGrid w:val="0"/>
        <w:spacing w:line="560" w:lineRule="atLeast"/>
        <w:rPr>
          <w:rFonts w:ascii="仿宋_GB2312" w:eastAsia="仿宋_GB2312" w:hint="eastAsia"/>
          <w:sz w:val="28"/>
          <w:szCs w:val="28"/>
          <w:lang w:val="zh-CN"/>
        </w:rPr>
      </w:pPr>
      <w:r>
        <w:rPr>
          <w:rFonts w:ascii="仿宋_GB2312" w:eastAsia="仿宋_GB2312" w:hint="eastAsia"/>
          <w:sz w:val="28"/>
          <w:szCs w:val="28"/>
          <w:lang w:val="zh-CN"/>
        </w:rPr>
        <w:t>2、验收工作组：合同履约验收工作应成立验收工作组专门负责。</w:t>
      </w:r>
    </w:p>
    <w:p>
      <w:pPr>
        <w:snapToGrid w:val="0"/>
        <w:spacing w:line="560" w:lineRule="atLeast"/>
        <w:rPr>
          <w:rFonts w:ascii="仿宋_GB2312" w:eastAsia="仿宋_GB2312" w:hint="eastAsia"/>
          <w:sz w:val="28"/>
          <w:szCs w:val="28"/>
          <w:lang w:val="zh-CN"/>
        </w:rPr>
      </w:pPr>
      <w:r>
        <w:rPr>
          <w:rFonts w:ascii="仿宋_GB2312" w:eastAsia="仿宋_GB2312" w:hint="eastAsia"/>
          <w:sz w:val="28"/>
          <w:szCs w:val="28"/>
          <w:lang w:val="zh-CN"/>
        </w:rPr>
        <w:t>直接参与该项目政府采购活动的主要负责人不得作为验收工作的主要负责人。</w:t>
      </w:r>
      <w:r>
        <w:rPr>
          <w:rFonts w:ascii="仿宋_GB2312" w:eastAsia="仿宋_GB2312" w:hint="eastAsia"/>
          <w:sz w:val="28"/>
          <w:szCs w:val="28"/>
        </w:rPr>
        <w:t>对于采购人和使用人分离的采购项目，应当邀请实际使用人参与验收；政府向社会公众提供的公共服务项目，验收时应当邀请服务对象参与并出具意见，验收结果应当向社会公告。</w:t>
      </w:r>
    </w:p>
    <w:p>
      <w:pPr>
        <w:snapToGrid w:val="0"/>
        <w:spacing w:line="560" w:lineRule="atLeast"/>
        <w:rPr>
          <w:rFonts w:ascii="仿宋_GB2312" w:eastAsia="仿宋_GB2312" w:hint="eastAsia"/>
          <w:sz w:val="28"/>
          <w:szCs w:val="28"/>
        </w:rPr>
      </w:pPr>
      <w:r>
        <w:rPr>
          <w:rFonts w:ascii="仿宋_GB2312" w:eastAsia="仿宋_GB2312" w:hint="eastAsia"/>
          <w:sz w:val="28"/>
          <w:szCs w:val="28"/>
        </w:rPr>
        <w:t>2.1、</w:t>
      </w:r>
      <w:r>
        <w:rPr>
          <w:rFonts w:ascii="仿宋_GB2312" w:eastAsia="仿宋_GB2312" w:hint="eastAsia"/>
          <w:sz w:val="28"/>
          <w:szCs w:val="28"/>
          <w:lang w:val="zh-CN"/>
        </w:rPr>
        <w:t>政府采购合同金额</w:t>
      </w:r>
      <w:r>
        <w:rPr>
          <w:rFonts w:ascii="仿宋_GB2312" w:eastAsia="仿宋_GB2312" w:hint="eastAsia"/>
          <w:sz w:val="28"/>
          <w:szCs w:val="28"/>
        </w:rPr>
        <w:t>在</w:t>
      </w:r>
      <w:r>
        <w:rPr>
          <w:rFonts w:ascii="仿宋_GB2312" w:eastAsia="仿宋_GB2312" w:hint="eastAsia"/>
          <w:sz w:val="28"/>
          <w:szCs w:val="28"/>
          <w:lang w:val="zh-CN"/>
        </w:rPr>
        <w:t>10万元以下（</w:t>
      </w:r>
      <w:r>
        <w:rPr>
          <w:rFonts w:ascii="仿宋_GB2312" w:eastAsia="仿宋_GB2312" w:hint="eastAsia"/>
          <w:sz w:val="28"/>
          <w:szCs w:val="28"/>
        </w:rPr>
        <w:t>含10万元</w:t>
      </w:r>
      <w:r>
        <w:rPr>
          <w:rFonts w:ascii="仿宋_GB2312" w:eastAsia="仿宋_GB2312" w:hint="eastAsia"/>
          <w:sz w:val="28"/>
          <w:szCs w:val="28"/>
          <w:lang w:val="zh-CN"/>
        </w:rPr>
        <w:t>）的项目，原则上可以不邀请评审专家参加，组织方成立验收小组自行验收。</w:t>
      </w:r>
      <w:r>
        <w:rPr>
          <w:rFonts w:ascii="仿宋_GB2312" w:eastAsia="仿宋_GB2312" w:hint="eastAsia"/>
          <w:sz w:val="28"/>
          <w:szCs w:val="28"/>
        </w:rPr>
        <w:t>自行验收时，验收小组应仔细对照采购文件及合同，对标的物的数量、质量、规格、型号等参数逐一核对，并编制验收报告。组织方认为不能独立完成验收任务的，可以邀请评审专家参与验收。</w:t>
      </w:r>
    </w:p>
    <w:p>
      <w:pPr>
        <w:snapToGrid w:val="0"/>
        <w:spacing w:line="560" w:lineRule="atLeast"/>
        <w:rPr>
          <w:rFonts w:ascii="仿宋_GB2312" w:eastAsia="仿宋_GB2312" w:hint="eastAsia"/>
          <w:sz w:val="28"/>
          <w:szCs w:val="28"/>
        </w:rPr>
      </w:pPr>
      <w:r>
        <w:rPr>
          <w:rFonts w:ascii="仿宋_GB2312" w:eastAsia="仿宋_GB2312" w:hint="eastAsia"/>
          <w:sz w:val="28"/>
          <w:szCs w:val="28"/>
        </w:rPr>
        <w:t>2.2、</w:t>
      </w:r>
      <w:r>
        <w:rPr>
          <w:rFonts w:ascii="仿宋_GB2312" w:eastAsia="仿宋_GB2312" w:hint="eastAsia"/>
          <w:sz w:val="28"/>
          <w:szCs w:val="28"/>
          <w:lang w:val="zh-CN"/>
        </w:rPr>
        <w:t>政府采购合同金额50万元以下的（含50万元）的项目，验收工作组应不少于三人；政府采购合同金额50万元以上的项目，验收工作组应由</w:t>
      </w:r>
      <w:r>
        <w:rPr>
          <w:rFonts w:ascii="仿宋_GB2312" w:eastAsia="仿宋_GB2312" w:hint="eastAsia"/>
          <w:sz w:val="28"/>
          <w:szCs w:val="28"/>
        </w:rPr>
        <w:t>采购人</w:t>
      </w:r>
      <w:r>
        <w:rPr>
          <w:rFonts w:ascii="仿宋_GB2312" w:eastAsia="仿宋_GB2312" w:hint="eastAsia"/>
          <w:sz w:val="28"/>
          <w:szCs w:val="28"/>
          <w:lang w:val="zh-CN"/>
        </w:rPr>
        <w:t>领导牵头，财务、审计、监察、资产管理、技术等部门人员参与，成员不少于五人。验收工作</w:t>
      </w:r>
      <w:r>
        <w:rPr>
          <w:rFonts w:ascii="仿宋_GB2312" w:eastAsia="仿宋_GB2312" w:hint="eastAsia"/>
          <w:sz w:val="28"/>
          <w:szCs w:val="28"/>
        </w:rPr>
        <w:t>原则上</w:t>
      </w:r>
      <w:r>
        <w:rPr>
          <w:rFonts w:ascii="仿宋_GB2312" w:eastAsia="仿宋_GB2312" w:hint="eastAsia"/>
          <w:sz w:val="28"/>
          <w:szCs w:val="28"/>
          <w:lang w:val="zh-CN"/>
        </w:rPr>
        <w:t>应当邀请采购评审专家参加验收；大型、复杂或者技术性很强的政府采购项目，应当邀请国家认可的质量检测机构参加验收工作；国家规定强制性检测的采购项目，</w:t>
      </w:r>
      <w:r>
        <w:rPr>
          <w:rFonts w:ascii="仿宋_GB2312" w:eastAsia="仿宋_GB2312" w:hint="eastAsia"/>
          <w:sz w:val="28"/>
          <w:szCs w:val="28"/>
        </w:rPr>
        <w:t>采购人</w:t>
      </w:r>
      <w:r>
        <w:rPr>
          <w:rFonts w:ascii="仿宋_GB2312" w:eastAsia="仿宋_GB2312" w:hint="eastAsia"/>
          <w:sz w:val="28"/>
          <w:szCs w:val="28"/>
          <w:lang w:val="zh-CN"/>
        </w:rPr>
        <w:t>必须委托国家认可专业检测机构进行验收。</w:t>
      </w:r>
    </w:p>
    <w:p>
      <w:pPr>
        <w:snapToGrid w:val="0"/>
        <w:spacing w:line="560" w:lineRule="atLeast"/>
        <w:rPr>
          <w:rFonts w:ascii="仿宋_GB2312" w:eastAsia="仿宋_GB2312" w:hint="eastAsia"/>
          <w:sz w:val="28"/>
          <w:szCs w:val="28"/>
        </w:rPr>
      </w:pPr>
      <w:r>
        <w:rPr>
          <w:rFonts w:ascii="仿宋_GB2312" w:eastAsia="仿宋_GB2312" w:hint="eastAsia"/>
          <w:sz w:val="28"/>
          <w:szCs w:val="28"/>
        </w:rPr>
        <w:t>3、验收时，验收小组按照采购合同的约定对每一项技术、服务、安全标准的履约情况进行确认。</w:t>
      </w:r>
      <w:r>
        <w:rPr>
          <w:rFonts w:ascii="仿宋_GB2312" w:eastAsia="仿宋_GB2312" w:hint="eastAsia"/>
          <w:sz w:val="28"/>
          <w:szCs w:val="28"/>
          <w:lang w:val="zh-CN"/>
        </w:rPr>
        <w:t>验收时需要进行破坏性试验的，供应商应进行充分的配合并提供备品备件。</w:t>
      </w:r>
    </w:p>
    <w:p>
      <w:pPr>
        <w:snapToGrid w:val="0"/>
        <w:spacing w:line="560" w:lineRule="atLeast"/>
        <w:rPr>
          <w:rFonts w:ascii="仿宋_GB2312" w:eastAsia="仿宋_GB2312" w:hint="eastAsia"/>
          <w:sz w:val="28"/>
          <w:szCs w:val="28"/>
        </w:rPr>
      </w:pPr>
      <w:r>
        <w:rPr>
          <w:rFonts w:ascii="仿宋_GB2312" w:eastAsia="仿宋_GB2312" w:hint="eastAsia"/>
          <w:sz w:val="28"/>
          <w:szCs w:val="28"/>
        </w:rPr>
        <w:t>4</w:t>
      </w:r>
      <w:r>
        <w:rPr>
          <w:rFonts w:ascii="仿宋_GB2312" w:eastAsia="仿宋_GB2312" w:hint="eastAsia"/>
          <w:sz w:val="28"/>
          <w:szCs w:val="28"/>
          <w:lang w:val="zh-CN"/>
        </w:rPr>
        <w:t>、验收报告：验收后，由采购</w:t>
      </w:r>
      <w:r>
        <w:rPr>
          <w:rFonts w:ascii="仿宋_GB2312" w:eastAsia="仿宋_GB2312" w:hint="eastAsia"/>
          <w:sz w:val="28"/>
          <w:szCs w:val="28"/>
        </w:rPr>
        <w:t>人</w:t>
      </w:r>
      <w:r>
        <w:rPr>
          <w:rFonts w:ascii="仿宋_GB2312" w:eastAsia="仿宋_GB2312" w:hint="eastAsia"/>
          <w:sz w:val="28"/>
          <w:szCs w:val="28"/>
          <w:lang w:val="zh-CN"/>
        </w:rPr>
        <w:t>及专家等出具验收报告（</w:t>
      </w:r>
      <w:r>
        <w:rPr>
          <w:rFonts w:ascii="仿宋_GB2312" w:eastAsia="仿宋_GB2312" w:hint="eastAsia"/>
          <w:sz w:val="28"/>
          <w:szCs w:val="28"/>
        </w:rPr>
        <w:t>自行验收的，由采购人出具</w:t>
      </w:r>
      <w:r>
        <w:rPr>
          <w:rFonts w:ascii="仿宋_GB2312" w:eastAsia="仿宋_GB2312" w:hint="eastAsia"/>
          <w:sz w:val="28"/>
          <w:szCs w:val="28"/>
          <w:lang w:val="zh-CN"/>
        </w:rPr>
        <w:t>），国家规定强制性检测的采购项目应附国家认可的专业检测机构出具的验收报告。</w:t>
      </w:r>
    </w:p>
    <w:p>
      <w:pPr>
        <w:snapToGrid w:val="0"/>
        <w:spacing w:line="560" w:lineRule="atLeast"/>
        <w:rPr>
          <w:rFonts w:ascii="仿宋_GB2312" w:eastAsia="仿宋_GB2312" w:hint="eastAsia"/>
          <w:sz w:val="28"/>
          <w:szCs w:val="28"/>
        </w:rPr>
      </w:pPr>
      <w:r>
        <w:rPr>
          <w:rFonts w:ascii="仿宋_GB2312" w:eastAsia="仿宋_GB2312" w:hint="eastAsia"/>
          <w:sz w:val="28"/>
          <w:szCs w:val="28"/>
        </w:rPr>
        <w:t>5、</w:t>
      </w:r>
      <w:r>
        <w:rPr>
          <w:rFonts w:ascii="仿宋_GB2312" w:eastAsia="仿宋_GB2312" w:hint="eastAsia"/>
          <w:sz w:val="28"/>
          <w:szCs w:val="28"/>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snapToGrid w:val="0"/>
        <w:spacing w:line="560" w:lineRule="atLeast"/>
        <w:rPr>
          <w:rFonts w:ascii="仿宋_GB2312" w:eastAsia="仿宋_GB2312" w:hint="eastAsia"/>
          <w:sz w:val="28"/>
          <w:szCs w:val="28"/>
        </w:rPr>
      </w:pPr>
      <w:r>
        <w:rPr>
          <w:rFonts w:ascii="仿宋_GB2312" w:eastAsia="仿宋_GB2312" w:hint="eastAsia"/>
          <w:sz w:val="28"/>
          <w:szCs w:val="28"/>
        </w:rPr>
        <w:t xml:space="preserve">五、履约保证金： </w:t>
      </w:r>
      <w:r>
        <w:rPr>
          <w:rFonts w:ascii="仿宋_GB2312" w:eastAsia="仿宋_GB2312" w:hint="eastAsia"/>
          <w:sz w:val="28"/>
          <w:szCs w:val="28"/>
          <w:u w:val="single"/>
        </w:rPr>
        <w:t xml:space="preserve">                        </w:t>
      </w:r>
      <w:r>
        <w:rPr>
          <w:rFonts w:ascii="仿宋_GB2312" w:eastAsia="仿宋_GB2312" w:hint="eastAsia"/>
          <w:sz w:val="28"/>
          <w:szCs w:val="28"/>
        </w:rPr>
        <w:t>。</w:t>
      </w:r>
    </w:p>
    <w:p>
      <w:pPr>
        <w:snapToGrid w:val="0"/>
        <w:spacing w:line="560" w:lineRule="atLeast"/>
        <w:rPr>
          <w:rFonts w:ascii="仿宋_GB2312" w:eastAsia="仿宋_GB2312" w:hint="eastAsia"/>
          <w:sz w:val="28"/>
          <w:szCs w:val="28"/>
        </w:rPr>
      </w:pPr>
      <w:r>
        <w:rPr>
          <w:rFonts w:ascii="仿宋_GB2312" w:eastAsia="仿宋_GB2312" w:hint="eastAsia"/>
          <w:sz w:val="28"/>
          <w:szCs w:val="28"/>
        </w:rPr>
        <w:t>六、付款程序：乙方需持从“安阳市政府采购网”登录系统下载本项目带水印的《安阳市市直政府采购资金申请表》和《安阳市市直政府采购申报表》，以及《政府采购验收报告》和发票等，作为付款依据，报安阳市会计核算中心审核确认后，按季度分期付款。</w:t>
      </w:r>
    </w:p>
    <w:p>
      <w:pPr>
        <w:snapToGrid w:val="0"/>
        <w:spacing w:line="560" w:lineRule="atLeast"/>
        <w:rPr>
          <w:rFonts w:ascii="仿宋_GB2312" w:eastAsia="仿宋_GB2312" w:hint="eastAsia"/>
          <w:sz w:val="28"/>
          <w:szCs w:val="28"/>
        </w:rPr>
      </w:pPr>
      <w:r>
        <w:rPr>
          <w:rFonts w:ascii="仿宋_GB2312" w:eastAsia="仿宋_GB2312" w:hint="eastAsia"/>
          <w:sz w:val="28"/>
          <w:szCs w:val="28"/>
        </w:rPr>
        <w:t>七、合同遵行《保障中小企业款项支付条例》。</w:t>
      </w:r>
    </w:p>
    <w:p>
      <w:pPr>
        <w:snapToGrid w:val="0"/>
        <w:spacing w:line="560" w:lineRule="atLeast"/>
        <w:rPr>
          <w:rFonts w:ascii="仿宋_GB2312" w:eastAsia="仿宋_GB2312" w:hint="eastAsia"/>
          <w:sz w:val="28"/>
          <w:szCs w:val="28"/>
        </w:rPr>
      </w:pPr>
      <w:r>
        <w:rPr>
          <w:rFonts w:ascii="仿宋_GB2312" w:eastAsia="仿宋_GB2312" w:hint="eastAsia"/>
          <w:sz w:val="28"/>
          <w:szCs w:val="28"/>
        </w:rPr>
        <w:t>八、责任和义务</w:t>
      </w:r>
    </w:p>
    <w:p>
      <w:pPr>
        <w:snapToGrid w:val="0"/>
        <w:spacing w:line="560" w:lineRule="atLeast"/>
        <w:rPr>
          <w:rFonts w:ascii="仿宋_GB2312" w:eastAsia="仿宋_GB2312" w:hint="eastAsia"/>
          <w:sz w:val="28"/>
          <w:szCs w:val="28"/>
        </w:rPr>
      </w:pPr>
      <w:r>
        <w:rPr>
          <w:rFonts w:ascii="仿宋_GB2312" w:eastAsia="仿宋_GB2312" w:hint="eastAsia"/>
          <w:sz w:val="28"/>
          <w:szCs w:val="28"/>
        </w:rPr>
        <w:t>1、甲方的责任和义务</w:t>
      </w:r>
    </w:p>
    <w:p>
      <w:pPr>
        <w:snapToGrid w:val="0"/>
        <w:spacing w:line="560" w:lineRule="atLeast"/>
        <w:rPr>
          <w:rFonts w:ascii="仿宋_GB2312" w:eastAsia="仿宋_GB2312" w:hint="eastAsia"/>
          <w:sz w:val="28"/>
          <w:szCs w:val="28"/>
        </w:rPr>
      </w:pPr>
      <w:r>
        <w:rPr>
          <w:rFonts w:ascii="仿宋_GB2312" w:eastAsia="仿宋_GB2312" w:hint="eastAsia"/>
          <w:sz w:val="28"/>
          <w:szCs w:val="28"/>
        </w:rPr>
        <w:t>（1）对乙方给予必要的协助。</w:t>
      </w:r>
    </w:p>
    <w:p>
      <w:pPr>
        <w:snapToGrid w:val="0"/>
        <w:spacing w:line="560" w:lineRule="atLeast"/>
        <w:rPr>
          <w:rFonts w:ascii="仿宋_GB2312" w:eastAsia="仿宋_GB2312" w:hint="eastAsia"/>
          <w:sz w:val="28"/>
          <w:szCs w:val="28"/>
        </w:rPr>
      </w:pPr>
      <w:r>
        <w:rPr>
          <w:rFonts w:ascii="仿宋_GB2312" w:eastAsia="仿宋_GB2312" w:hint="eastAsia"/>
          <w:sz w:val="28"/>
          <w:szCs w:val="28"/>
        </w:rPr>
        <w:t>（2）按时验收、及时支付资金；</w:t>
      </w:r>
    </w:p>
    <w:p>
      <w:pPr>
        <w:snapToGrid w:val="0"/>
        <w:spacing w:line="560" w:lineRule="atLeast"/>
        <w:rPr>
          <w:rFonts w:ascii="仿宋_GB2312" w:eastAsia="仿宋_GB2312" w:hint="eastAsia"/>
          <w:sz w:val="28"/>
          <w:szCs w:val="28"/>
        </w:rPr>
      </w:pPr>
      <w:r>
        <w:rPr>
          <w:rFonts w:ascii="仿宋_GB2312" w:eastAsia="仿宋_GB2312" w:hint="eastAsia"/>
          <w:sz w:val="28"/>
          <w:szCs w:val="28"/>
        </w:rPr>
        <w:t>（3）遵守国家法律法规，不得要求乙方虚开发票，不得向乙方索要“好处”、“回扣”、“礼品”，或要求乙方提供合同以外的其他物品或服务；</w:t>
      </w:r>
    </w:p>
    <w:p>
      <w:pPr>
        <w:snapToGrid w:val="0"/>
        <w:spacing w:line="560" w:lineRule="atLeast"/>
        <w:rPr>
          <w:rFonts w:ascii="仿宋_GB2312" w:eastAsia="仿宋_GB2312" w:hint="eastAsia"/>
          <w:sz w:val="28"/>
          <w:szCs w:val="28"/>
        </w:rPr>
      </w:pPr>
      <w:r>
        <w:rPr>
          <w:rFonts w:ascii="仿宋_GB2312" w:eastAsia="仿宋_GB2312" w:hint="eastAsia"/>
          <w:sz w:val="28"/>
          <w:szCs w:val="28"/>
        </w:rPr>
        <w:t>（4）对乙方未按合同约定履约在验收报告中注明违约情形和事项，并应及时通知财政部门。违反相关法规的向相关行政执法部门举报。</w:t>
      </w:r>
    </w:p>
    <w:p>
      <w:pPr>
        <w:snapToGrid w:val="0"/>
        <w:spacing w:line="560" w:lineRule="atLeast"/>
        <w:rPr>
          <w:rFonts w:ascii="仿宋_GB2312" w:eastAsia="仿宋_GB2312" w:hint="eastAsia"/>
          <w:sz w:val="28"/>
          <w:szCs w:val="28"/>
        </w:rPr>
      </w:pPr>
      <w:r>
        <w:rPr>
          <w:rFonts w:ascii="仿宋_GB2312" w:eastAsia="仿宋_GB2312" w:hint="eastAsia"/>
          <w:sz w:val="28"/>
          <w:szCs w:val="28"/>
        </w:rPr>
        <w:t>（5）其他法律法规规定应尽的义务。</w:t>
      </w:r>
    </w:p>
    <w:p>
      <w:pPr>
        <w:snapToGrid w:val="0"/>
        <w:spacing w:line="560" w:lineRule="atLeast"/>
        <w:rPr>
          <w:rFonts w:ascii="仿宋_GB2312" w:eastAsia="仿宋_GB2312" w:hint="eastAsia"/>
          <w:sz w:val="28"/>
          <w:szCs w:val="28"/>
        </w:rPr>
      </w:pPr>
      <w:r>
        <w:rPr>
          <w:rFonts w:ascii="仿宋_GB2312" w:eastAsia="仿宋_GB2312" w:hint="eastAsia"/>
          <w:sz w:val="28"/>
          <w:szCs w:val="28"/>
        </w:rPr>
        <w:t>2、乙方的责任和义务</w:t>
      </w:r>
    </w:p>
    <w:p>
      <w:pPr>
        <w:snapToGrid w:val="0"/>
        <w:spacing w:line="560" w:lineRule="atLeast"/>
        <w:rPr>
          <w:rFonts w:ascii="仿宋_GB2312" w:eastAsia="仿宋_GB2312" w:hint="eastAsia"/>
          <w:sz w:val="28"/>
          <w:szCs w:val="28"/>
        </w:rPr>
      </w:pPr>
      <w:r>
        <w:rPr>
          <w:rFonts w:ascii="仿宋_GB2312" w:eastAsia="仿宋_GB2312" w:hint="eastAsia"/>
          <w:sz w:val="28"/>
          <w:szCs w:val="28"/>
        </w:rPr>
        <w:t>（1）严格按采购文件要求与投标文件的质量及服务承诺执行，保质、按期履行。</w:t>
      </w:r>
    </w:p>
    <w:p>
      <w:pPr>
        <w:snapToGrid w:val="0"/>
        <w:spacing w:line="560" w:lineRule="atLeast"/>
        <w:rPr>
          <w:rFonts w:ascii="仿宋_GB2312" w:eastAsia="仿宋_GB2312" w:hint="eastAsia"/>
          <w:sz w:val="28"/>
          <w:szCs w:val="28"/>
        </w:rPr>
      </w:pPr>
      <w:r>
        <w:rPr>
          <w:rFonts w:ascii="仿宋_GB2312" w:eastAsia="仿宋_GB2312" w:hint="eastAsia"/>
          <w:sz w:val="28"/>
          <w:szCs w:val="28"/>
        </w:rPr>
        <w:t>（2）不得将合同权利义务全部或部分转让给第三人。</w:t>
      </w:r>
    </w:p>
    <w:p>
      <w:pPr>
        <w:snapToGrid w:val="0"/>
        <w:spacing w:line="560" w:lineRule="atLeast"/>
        <w:rPr>
          <w:rFonts w:ascii="仿宋_GB2312" w:eastAsia="仿宋_GB2312" w:hint="eastAsia"/>
          <w:sz w:val="28"/>
          <w:szCs w:val="28"/>
        </w:rPr>
      </w:pPr>
      <w:r>
        <w:rPr>
          <w:rFonts w:ascii="仿宋_GB2312" w:eastAsia="仿宋_GB2312" w:hint="eastAsia"/>
          <w:sz w:val="28"/>
          <w:szCs w:val="28"/>
        </w:rPr>
        <w:t>（3）验收合格前，对货物和人员的安全负责，应采取安全措施，确保人员、材料、设备和设施的安全，防止货物验收合格前的人身伤害和财产损失；应对其履行合同所雇佣的全部人员的工伤事故承担责任。</w:t>
      </w:r>
    </w:p>
    <w:p>
      <w:pPr>
        <w:snapToGrid w:val="0"/>
        <w:spacing w:line="560" w:lineRule="atLeast"/>
        <w:rPr>
          <w:rFonts w:ascii="仿宋_GB2312" w:eastAsia="仿宋_GB2312" w:hint="eastAsia"/>
          <w:sz w:val="28"/>
          <w:szCs w:val="28"/>
          <w:lang w:eastAsia="zh-CN"/>
        </w:rPr>
      </w:pPr>
      <w:r>
        <w:rPr>
          <w:rFonts w:ascii="仿宋_GB2312" w:eastAsia="仿宋_GB2312" w:hint="eastAsia"/>
          <w:sz w:val="28"/>
          <w:szCs w:val="28"/>
        </w:rPr>
        <w:t>（4）遵守法律、依法纳税</w:t>
      </w:r>
      <w:r>
        <w:rPr>
          <w:rFonts w:ascii="仿宋_GB2312" w:eastAsia="仿宋_GB2312" w:hint="eastAsia"/>
          <w:sz w:val="28"/>
          <w:szCs w:val="28"/>
          <w:lang w:eastAsia="zh-CN"/>
        </w:rPr>
        <w:t>。</w:t>
      </w:r>
    </w:p>
    <w:p>
      <w:pPr>
        <w:snapToGrid w:val="0"/>
        <w:spacing w:line="560" w:lineRule="atLeast"/>
        <w:rPr>
          <w:rFonts w:ascii="仿宋_GB2312" w:eastAsia="仿宋_GB2312" w:hint="eastAsia"/>
          <w:sz w:val="28"/>
          <w:szCs w:val="28"/>
        </w:rPr>
      </w:pPr>
      <w:r>
        <w:rPr>
          <w:rFonts w:ascii="仿宋_GB2312" w:eastAsia="仿宋_GB2312" w:hint="eastAsia"/>
          <w:sz w:val="28"/>
          <w:szCs w:val="28"/>
        </w:rPr>
        <w:t>（5）遵守职业道德和行业规范，坚决杜绝送礼、回扣、报销费用等一切不正当竞争行为和商业贿赂行为；对甲方索要回扣、礼品等违规行为，向同级财政局政府采购监督管理科及相关执法机关举报。</w:t>
      </w:r>
    </w:p>
    <w:p>
      <w:pPr>
        <w:tabs>
          <w:tab w:val="right" w:pos="9354"/>
        </w:tabs>
        <w:snapToGrid w:val="0"/>
        <w:spacing w:line="560" w:lineRule="atLeast"/>
        <w:rPr>
          <w:rFonts w:ascii="仿宋_GB2312" w:eastAsia="仿宋_GB2312" w:hint="eastAsia"/>
          <w:sz w:val="28"/>
          <w:szCs w:val="28"/>
          <w:lang w:val="en-US" w:eastAsia="zh-CN"/>
        </w:rPr>
      </w:pPr>
      <w:r>
        <w:rPr>
          <w:rFonts w:ascii="仿宋_GB2312" w:eastAsia="仿宋_GB2312" w:hint="eastAsia"/>
          <w:sz w:val="28"/>
          <w:szCs w:val="28"/>
          <w:lang w:eastAsia="zh-CN"/>
        </w:rPr>
        <w:t>（</w:t>
      </w:r>
      <w:r>
        <w:rPr>
          <w:rFonts w:ascii="仿宋_GB2312" w:eastAsia="仿宋_GB2312" w:hint="eastAsia"/>
          <w:sz w:val="28"/>
          <w:szCs w:val="28"/>
          <w:lang w:val="en-US" w:eastAsia="zh-CN"/>
        </w:rPr>
        <w:t>6</w:t>
      </w:r>
      <w:r>
        <w:rPr>
          <w:rFonts w:ascii="仿宋_GB2312" w:eastAsia="仿宋_GB2312" w:hint="eastAsia"/>
          <w:sz w:val="28"/>
          <w:szCs w:val="28"/>
          <w:lang w:eastAsia="zh-CN"/>
        </w:rPr>
        <w:t>）</w:t>
      </w:r>
      <w:r>
        <w:rPr>
          <w:rFonts w:ascii="仿宋_GB2312" w:eastAsia="仿宋_GB2312" w:hint="eastAsia"/>
          <w:sz w:val="28"/>
          <w:szCs w:val="28"/>
        </w:rPr>
        <w:t>鉴定当中涉及公民信息,车辆信息，以及公安监控等涉及警务</w:t>
      </w:r>
      <w:r>
        <w:rPr>
          <w:rFonts w:ascii="仿宋_GB2312" w:eastAsia="仿宋_GB2312" w:hint="eastAsia"/>
          <w:sz w:val="28"/>
          <w:szCs w:val="28"/>
          <w:lang w:val="en-US" w:eastAsia="zh-CN"/>
        </w:rPr>
        <w:t>信息，乙方应签署保密承诺书。</w:t>
      </w:r>
    </w:p>
    <w:p>
      <w:pPr>
        <w:snapToGrid w:val="0"/>
        <w:spacing w:line="560" w:lineRule="atLeast"/>
        <w:rPr>
          <w:rFonts w:ascii="仿宋_GB2312" w:eastAsia="仿宋_GB2312" w:hint="eastAsia"/>
          <w:sz w:val="28"/>
          <w:szCs w:val="28"/>
        </w:rPr>
      </w:pPr>
      <w:r>
        <w:rPr>
          <w:rFonts w:ascii="仿宋_GB2312" w:eastAsia="仿宋_GB2312" w:hint="eastAsia"/>
          <w:sz w:val="28"/>
          <w:szCs w:val="28"/>
        </w:rPr>
        <w:t>（</w:t>
      </w:r>
      <w:r>
        <w:rPr>
          <w:rFonts w:ascii="仿宋_GB2312" w:eastAsia="仿宋_GB2312" w:hint="eastAsia"/>
          <w:sz w:val="28"/>
          <w:szCs w:val="28"/>
          <w:lang w:val="en-US" w:eastAsia="zh-CN"/>
        </w:rPr>
        <w:t>7</w:t>
      </w:r>
      <w:r>
        <w:rPr>
          <w:rFonts w:ascii="仿宋_GB2312" w:eastAsia="仿宋_GB2312" w:hint="eastAsia"/>
          <w:sz w:val="28"/>
          <w:szCs w:val="28"/>
        </w:rPr>
        <w:t>）其他法律法规规定应尽的义务。</w:t>
      </w:r>
    </w:p>
    <w:p>
      <w:pPr>
        <w:snapToGrid w:val="0"/>
        <w:spacing w:line="560" w:lineRule="atLeast"/>
        <w:rPr>
          <w:rFonts w:ascii="仿宋_GB2312" w:eastAsia="仿宋_GB2312" w:hint="eastAsia"/>
          <w:sz w:val="28"/>
          <w:szCs w:val="28"/>
        </w:rPr>
      </w:pPr>
      <w:r>
        <w:rPr>
          <w:rFonts w:ascii="仿宋_GB2312" w:eastAsia="仿宋_GB2312" w:hint="eastAsia"/>
          <w:sz w:val="28"/>
          <w:szCs w:val="28"/>
        </w:rPr>
        <w:t>九、违约责任：</w:t>
      </w:r>
    </w:p>
    <w:p>
      <w:pPr>
        <w:snapToGrid w:val="0"/>
        <w:spacing w:line="560" w:lineRule="atLeast"/>
        <w:rPr>
          <w:rFonts w:ascii="仿宋_GB2312" w:eastAsia="仿宋_GB2312" w:hint="eastAsia"/>
          <w:sz w:val="28"/>
          <w:szCs w:val="28"/>
        </w:rPr>
      </w:pPr>
      <w:r>
        <w:rPr>
          <w:rFonts w:ascii="仿宋_GB2312" w:eastAsia="仿宋_GB2312" w:hint="eastAsia"/>
          <w:sz w:val="28"/>
          <w:szCs w:val="28"/>
        </w:rPr>
        <w:t>1、甲方无正当理由拒付款项的，向乙方偿付拒收拒付部分款项总额</w:t>
      </w:r>
      <w:r>
        <w:rPr>
          <w:rFonts w:ascii="仿宋_GB2312" w:eastAsia="仿宋_GB2312" w:hint="eastAsia"/>
          <w:sz w:val="28"/>
          <w:szCs w:val="28"/>
          <w:u w:val="single"/>
        </w:rPr>
        <w:t xml:space="preserve">  </w:t>
      </w:r>
      <w:r>
        <w:rPr>
          <w:rFonts w:ascii="仿宋_GB2312" w:eastAsia="仿宋_GB2312" w:hint="eastAsia"/>
          <w:sz w:val="28"/>
          <w:szCs w:val="28"/>
        </w:rPr>
        <w:t>%的违约金。</w:t>
      </w:r>
    </w:p>
    <w:p>
      <w:pPr>
        <w:snapToGrid w:val="0"/>
        <w:spacing w:line="560" w:lineRule="atLeast"/>
        <w:rPr>
          <w:rFonts w:ascii="仿宋_GB2312" w:eastAsia="仿宋_GB2312" w:hint="eastAsia"/>
          <w:sz w:val="28"/>
          <w:szCs w:val="28"/>
        </w:rPr>
      </w:pPr>
      <w:r>
        <w:rPr>
          <w:rFonts w:ascii="仿宋_GB2312" w:eastAsia="仿宋_GB2312" w:hint="eastAsia"/>
          <w:sz w:val="28"/>
          <w:szCs w:val="28"/>
        </w:rPr>
        <w:t>2、乙方提供服务不符合合同规定，甲方有权拒付相关款项。</w:t>
      </w:r>
    </w:p>
    <w:p>
      <w:pPr>
        <w:snapToGrid w:val="0"/>
        <w:spacing w:line="560" w:lineRule="atLeast"/>
        <w:rPr>
          <w:rFonts w:ascii="仿宋_GB2312" w:eastAsia="仿宋_GB2312" w:hint="eastAsia"/>
          <w:sz w:val="28"/>
          <w:szCs w:val="28"/>
        </w:rPr>
      </w:pPr>
      <w:r>
        <w:rPr>
          <w:rFonts w:ascii="仿宋_GB2312" w:eastAsia="仿宋_GB2312" w:hint="eastAsia"/>
          <w:sz w:val="28"/>
          <w:szCs w:val="28"/>
        </w:rPr>
        <w:t>3、乙方逾期，乙方向甲方每日偿付</w:t>
      </w:r>
      <w:r>
        <w:rPr>
          <w:rFonts w:ascii="仿宋_GB2312" w:eastAsia="仿宋_GB2312" w:hint="eastAsia"/>
          <w:sz w:val="28"/>
          <w:szCs w:val="28"/>
          <w:u w:val="single"/>
        </w:rPr>
        <w:t xml:space="preserve">     </w:t>
      </w:r>
      <w:r>
        <w:rPr>
          <w:rFonts w:ascii="仿宋_GB2312" w:eastAsia="仿宋_GB2312" w:hint="eastAsia"/>
          <w:sz w:val="28"/>
          <w:szCs w:val="28"/>
        </w:rPr>
        <w:t>%赔偿费。</w:t>
      </w:r>
    </w:p>
    <w:p>
      <w:pPr>
        <w:snapToGrid w:val="0"/>
        <w:spacing w:line="560" w:lineRule="atLeast"/>
        <w:rPr>
          <w:rFonts w:ascii="仿宋_GB2312" w:eastAsia="仿宋_GB2312" w:hint="eastAsia"/>
          <w:sz w:val="28"/>
          <w:szCs w:val="28"/>
        </w:rPr>
      </w:pPr>
      <w:r>
        <w:rPr>
          <w:rFonts w:ascii="仿宋_GB2312" w:eastAsia="仿宋_GB2312" w:hint="eastAsia"/>
          <w:sz w:val="28"/>
          <w:szCs w:val="28"/>
        </w:rPr>
        <w:t>十、《采购文件》及其修改补充、投标文件及其修改补充澄清均为本合同的组成部分。</w:t>
      </w:r>
    </w:p>
    <w:p>
      <w:pPr>
        <w:snapToGrid w:val="0"/>
        <w:spacing w:line="560" w:lineRule="atLeast"/>
        <w:rPr>
          <w:rFonts w:ascii="仿宋_GB2312" w:eastAsia="仿宋_GB2312" w:hint="eastAsia"/>
          <w:sz w:val="28"/>
          <w:szCs w:val="28"/>
        </w:rPr>
      </w:pPr>
      <w:r>
        <w:rPr>
          <w:rFonts w:ascii="仿宋_GB2312" w:eastAsia="仿宋_GB2312" w:hint="eastAsia"/>
          <w:sz w:val="28"/>
          <w:szCs w:val="28"/>
        </w:rPr>
        <w:t>十一、本合同发生争议时双方应按合同条款协商解决。双方协商不成的，可以根据仲裁协议向当地仲裁机构申请仲裁。当事人没有订立仲裁协议或者仲裁协议无效的，可以向当地人民法院起诉。</w:t>
      </w:r>
    </w:p>
    <w:p>
      <w:pPr>
        <w:snapToGrid w:val="0"/>
        <w:spacing w:line="560" w:lineRule="atLeast"/>
        <w:rPr>
          <w:rFonts w:ascii="仿宋_GB2312" w:eastAsia="仿宋_GB2312" w:hint="eastAsia"/>
          <w:sz w:val="28"/>
          <w:szCs w:val="28"/>
        </w:rPr>
      </w:pPr>
      <w:r>
        <w:rPr>
          <w:rFonts w:ascii="仿宋_GB2312" w:eastAsia="仿宋_GB2312" w:hint="eastAsia"/>
          <w:sz w:val="28"/>
          <w:szCs w:val="28"/>
        </w:rPr>
        <w:t>十二、合同生效及其它：</w:t>
      </w:r>
    </w:p>
    <w:p>
      <w:pPr>
        <w:snapToGrid w:val="0"/>
        <w:spacing w:line="560" w:lineRule="atLeast"/>
        <w:ind w:firstLine="560" w:firstLineChars="200"/>
        <w:rPr>
          <w:rFonts w:ascii="仿宋_GB2312" w:eastAsia="仿宋_GB2312" w:hint="eastAsia"/>
          <w:sz w:val="28"/>
          <w:szCs w:val="28"/>
        </w:rPr>
      </w:pPr>
      <w:r>
        <w:rPr>
          <w:rFonts w:ascii="仿宋_GB2312" w:eastAsia="仿宋_GB2312" w:hint="eastAsia"/>
          <w:sz w:val="28"/>
          <w:szCs w:val="28"/>
        </w:rPr>
        <w:t>本合同经甲乙双方代表签字、加盖公章和骑缝章后生效。本合同一式</w:t>
      </w:r>
      <w:r>
        <w:rPr>
          <w:rFonts w:ascii="仿宋_GB2312" w:eastAsia="仿宋_GB2312" w:hint="eastAsia"/>
          <w:sz w:val="28"/>
          <w:szCs w:val="28"/>
          <w:u w:val="single"/>
        </w:rPr>
        <w:t xml:space="preserve">  </w:t>
      </w:r>
      <w:r>
        <w:rPr>
          <w:rFonts w:ascii="仿宋_GB2312" w:eastAsia="仿宋_GB2312" w:hint="eastAsia"/>
          <w:sz w:val="28"/>
          <w:szCs w:val="28"/>
        </w:rPr>
        <w:t>份，甲乙双方各持</w:t>
      </w:r>
      <w:r>
        <w:rPr>
          <w:rFonts w:ascii="仿宋_GB2312" w:eastAsia="仿宋_GB2312" w:hint="eastAsia"/>
          <w:sz w:val="28"/>
          <w:szCs w:val="28"/>
          <w:u w:val="single"/>
        </w:rPr>
        <w:t xml:space="preserve">   </w:t>
      </w:r>
      <w:r>
        <w:rPr>
          <w:rFonts w:ascii="仿宋_GB2312" w:eastAsia="仿宋_GB2312" w:hint="eastAsia"/>
          <w:sz w:val="28"/>
          <w:szCs w:val="28"/>
        </w:rPr>
        <w:t>份。</w:t>
      </w:r>
    </w:p>
    <w:p>
      <w:pPr>
        <w:snapToGrid w:val="0"/>
        <w:spacing w:line="560" w:lineRule="atLeast"/>
        <w:ind w:firstLine="560" w:firstLineChars="200"/>
        <w:rPr>
          <w:rFonts w:ascii="仿宋_GB2312" w:eastAsia="仿宋_GB2312" w:hint="eastAsia"/>
          <w:sz w:val="28"/>
          <w:szCs w:val="28"/>
        </w:rPr>
      </w:pPr>
      <w:r>
        <w:rPr>
          <w:rFonts w:ascii="仿宋_GB2312" w:eastAsia="仿宋_GB2312" w:hint="eastAsia"/>
          <w:sz w:val="28"/>
          <w:szCs w:val="28"/>
        </w:rPr>
        <w:t>甲方要在合同签订后1个工作日内登陆安阳市政府采购网进行备案并公告。</w:t>
      </w:r>
    </w:p>
    <w:p>
      <w:pPr>
        <w:snapToGrid w:val="0"/>
        <w:spacing w:line="560" w:lineRule="atLeast"/>
        <w:rPr>
          <w:rFonts w:ascii="仿宋_GB2312" w:eastAsia="仿宋_GB2312" w:hint="eastAsia"/>
          <w:sz w:val="28"/>
          <w:szCs w:val="28"/>
        </w:rPr>
      </w:pPr>
      <w:r>
        <w:rPr>
          <w:rFonts w:ascii="仿宋_GB2312" w:eastAsia="仿宋_GB2312" w:hint="eastAsia"/>
          <w:sz w:val="28"/>
          <w:szCs w:val="28"/>
        </w:rPr>
        <w:t>甲方：</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lang w:val="en-US" w:eastAsia="zh-CN"/>
        </w:rPr>
        <w:t xml:space="preserve">             </w:t>
      </w:r>
      <w:r>
        <w:rPr>
          <w:rFonts w:ascii="仿宋_GB2312" w:eastAsia="仿宋_GB2312" w:hint="eastAsia"/>
          <w:sz w:val="28"/>
          <w:szCs w:val="28"/>
        </w:rPr>
        <w:t>乙方：</w:t>
      </w:r>
    </w:p>
    <w:p>
      <w:pPr>
        <w:snapToGrid w:val="0"/>
        <w:spacing w:line="560" w:lineRule="atLeast"/>
        <w:rPr>
          <w:rFonts w:ascii="仿宋_GB2312" w:eastAsia="仿宋_GB2312" w:hint="eastAsia"/>
          <w:sz w:val="28"/>
          <w:szCs w:val="28"/>
        </w:rPr>
      </w:pPr>
      <w:r>
        <w:rPr>
          <w:rFonts w:ascii="仿宋_GB2312" w:eastAsia="仿宋_GB2312" w:hint="eastAsia"/>
          <w:sz w:val="28"/>
          <w:szCs w:val="28"/>
        </w:rPr>
        <w:t>地址：</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lang w:val="en-US" w:eastAsia="zh-CN"/>
        </w:rPr>
        <w:t xml:space="preserve">             </w:t>
      </w:r>
      <w:r>
        <w:rPr>
          <w:rFonts w:ascii="仿宋_GB2312" w:eastAsia="仿宋_GB2312" w:hint="eastAsia"/>
          <w:sz w:val="28"/>
          <w:szCs w:val="28"/>
        </w:rPr>
        <w:t>地址：</w:t>
      </w:r>
    </w:p>
    <w:p>
      <w:pPr>
        <w:snapToGrid w:val="0"/>
        <w:spacing w:line="560" w:lineRule="atLeast"/>
        <w:rPr>
          <w:rFonts w:ascii="仿宋_GB2312" w:eastAsia="仿宋_GB2312" w:hint="eastAsia"/>
          <w:sz w:val="28"/>
          <w:szCs w:val="28"/>
        </w:rPr>
      </w:pPr>
      <w:r>
        <w:rPr>
          <w:rFonts w:ascii="仿宋_GB2312" w:eastAsia="仿宋_GB2312" w:hint="eastAsia"/>
          <w:sz w:val="28"/>
          <w:szCs w:val="28"/>
        </w:rPr>
        <w:t>法定代表人：</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lang w:val="en-US" w:eastAsia="zh-CN"/>
        </w:rPr>
        <w:t xml:space="preserve">          </w:t>
      </w:r>
      <w:r>
        <w:rPr>
          <w:rFonts w:ascii="仿宋_GB2312" w:eastAsia="仿宋_GB2312" w:hint="eastAsia"/>
          <w:sz w:val="28"/>
          <w:szCs w:val="28"/>
        </w:rPr>
        <w:t>法定代表人：</w:t>
      </w:r>
    </w:p>
    <w:p>
      <w:pPr>
        <w:snapToGrid w:val="0"/>
        <w:spacing w:line="560" w:lineRule="atLeast"/>
        <w:rPr>
          <w:rFonts w:ascii="仿宋_GB2312" w:eastAsia="仿宋_GB2312" w:hint="eastAsia"/>
          <w:sz w:val="28"/>
          <w:szCs w:val="28"/>
        </w:rPr>
      </w:pPr>
      <w:r>
        <w:rPr>
          <w:rFonts w:ascii="仿宋_GB2312" w:eastAsia="仿宋_GB2312" w:hint="eastAsia"/>
          <w:sz w:val="28"/>
          <w:szCs w:val="28"/>
        </w:rPr>
        <w:t>委托代理人：</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lang w:val="en-US" w:eastAsia="zh-CN"/>
        </w:rPr>
        <w:t xml:space="preserve">          </w:t>
      </w:r>
      <w:r>
        <w:rPr>
          <w:rFonts w:ascii="仿宋_GB2312" w:eastAsia="仿宋_GB2312" w:hint="eastAsia"/>
          <w:sz w:val="28"/>
          <w:szCs w:val="28"/>
        </w:rPr>
        <w:t>委托代理人：</w:t>
      </w:r>
    </w:p>
    <w:p>
      <w:pPr>
        <w:snapToGrid w:val="0"/>
        <w:spacing w:line="560" w:lineRule="atLeast"/>
        <w:rPr>
          <w:rFonts w:ascii="仿宋_GB2312" w:eastAsia="仿宋_GB2312" w:hint="eastAsia"/>
          <w:sz w:val="28"/>
          <w:szCs w:val="28"/>
        </w:rPr>
      </w:pPr>
      <w:r>
        <w:rPr>
          <w:rFonts w:ascii="仿宋_GB2312" w:eastAsia="仿宋_GB2312" w:hint="eastAsia"/>
          <w:sz w:val="28"/>
          <w:szCs w:val="28"/>
        </w:rPr>
        <w:t>电话：</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lang w:val="en-US" w:eastAsia="zh-CN"/>
        </w:rPr>
        <w:t xml:space="preserve">             </w:t>
      </w:r>
      <w:r>
        <w:rPr>
          <w:rFonts w:ascii="仿宋_GB2312" w:eastAsia="仿宋_GB2312" w:hint="eastAsia"/>
          <w:sz w:val="28"/>
          <w:szCs w:val="28"/>
        </w:rPr>
        <w:t>电话：</w:t>
      </w:r>
    </w:p>
    <w:p>
      <w:pPr>
        <w:snapToGrid w:val="0"/>
        <w:spacing w:line="560" w:lineRule="atLeast"/>
        <w:rPr>
          <w:rFonts w:ascii="仿宋_GB2312" w:eastAsia="仿宋_GB2312" w:hint="eastAsia"/>
          <w:sz w:val="28"/>
          <w:szCs w:val="28"/>
        </w:rPr>
      </w:pPr>
      <w:r>
        <w:rPr>
          <w:rFonts w:ascii="仿宋_GB2312" w:eastAsia="仿宋_GB2312" w:hint="eastAsia"/>
          <w:sz w:val="28"/>
          <w:szCs w:val="28"/>
        </w:rPr>
        <w:t>开户银行：</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lang w:val="en-US" w:eastAsia="zh-CN"/>
        </w:rPr>
        <w:t xml:space="preserve">             </w:t>
      </w:r>
      <w:r>
        <w:rPr>
          <w:rFonts w:ascii="仿宋_GB2312" w:eastAsia="仿宋_GB2312" w:hint="eastAsia"/>
          <w:sz w:val="28"/>
          <w:szCs w:val="28"/>
        </w:rPr>
        <w:t>开户银行：</w:t>
      </w:r>
    </w:p>
    <w:p>
      <w:pPr>
        <w:snapToGrid w:val="0"/>
        <w:spacing w:line="560" w:lineRule="atLeast"/>
        <w:rPr>
          <w:rFonts w:ascii="仿宋_GB2312" w:eastAsia="仿宋_GB2312" w:hint="eastAsia"/>
          <w:sz w:val="28"/>
          <w:szCs w:val="28"/>
        </w:rPr>
      </w:pPr>
      <w:r>
        <w:rPr>
          <w:rFonts w:ascii="仿宋_GB2312" w:eastAsia="仿宋_GB2312" w:hint="eastAsia"/>
          <w:sz w:val="28"/>
          <w:szCs w:val="28"/>
        </w:rPr>
        <w:t>银行账号：</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lang w:val="en-US" w:eastAsia="zh-CN"/>
        </w:rPr>
        <w:t xml:space="preserve">             </w:t>
      </w:r>
      <w:r>
        <w:rPr>
          <w:rFonts w:ascii="仿宋_GB2312" w:eastAsia="仿宋_GB2312" w:hint="eastAsia"/>
          <w:sz w:val="28"/>
          <w:szCs w:val="28"/>
        </w:rPr>
        <w:t>银行账号：</w:t>
      </w:r>
    </w:p>
    <w:p>
      <w:pPr>
        <w:snapToGrid w:val="0"/>
        <w:spacing w:line="560" w:lineRule="atLeast"/>
        <w:rPr>
          <w:rFonts w:ascii="仿宋_GB2312" w:eastAsia="仿宋_GB2312" w:hint="eastAsia"/>
          <w:sz w:val="28"/>
          <w:szCs w:val="28"/>
        </w:rPr>
      </w:pPr>
      <w:r>
        <w:rPr>
          <w:rFonts w:ascii="仿宋_GB2312" w:eastAsia="仿宋_GB2312" w:hint="eastAsia"/>
          <w:sz w:val="28"/>
          <w:szCs w:val="28"/>
        </w:rPr>
        <w:t xml:space="preserve">签约时间：          </w:t>
      </w:r>
      <w:r>
        <w:rPr>
          <w:rFonts w:ascii="仿宋_GB2312" w:eastAsia="仿宋_GB2312" w:hint="eastAsia"/>
          <w:sz w:val="28"/>
          <w:szCs w:val="28"/>
          <w:lang w:val="en-US" w:eastAsia="zh-CN"/>
        </w:rPr>
        <w:t xml:space="preserve">           </w:t>
      </w:r>
      <w:r>
        <w:rPr>
          <w:rFonts w:ascii="仿宋_GB2312" w:eastAsia="仿宋_GB2312" w:hint="eastAsia"/>
          <w:sz w:val="28"/>
          <w:szCs w:val="28"/>
        </w:rPr>
        <w:t>签约地点：</w:t>
      </w:r>
    </w:p>
    <w:p>
      <w:pPr>
        <w:pStyle w:val="Heading1"/>
        <w:pageBreakBefore/>
        <w:jc w:val="center"/>
        <w:rPr>
          <w:rFonts w:ascii="宋体" w:hAnsi="宋体"/>
        </w:rPr>
      </w:pPr>
      <w:r>
        <w:rPr>
          <w:rFonts w:ascii="宋体" w:hAnsi="宋体" w:hint="eastAsia"/>
        </w:rPr>
        <w:t>第五部分    附件——响应文件格式</w:t>
      </w:r>
      <w:bookmarkEnd w:id="9"/>
    </w:p>
    <w:p>
      <w:pPr>
        <w:spacing w:before="855" w:beforeLines="300" w:after="285" w:afterLines="100" w:line="360" w:lineRule="auto"/>
        <w:ind w:firstLine="2200" w:firstLineChars="500"/>
        <w:rPr>
          <w:rFonts w:ascii="宋体" w:eastAsia="宋体" w:hAnsi="宋体" w:hint="eastAsia"/>
          <w:b/>
          <w:bCs/>
          <w:spacing w:val="100"/>
          <w:sz w:val="44"/>
          <w:szCs w:val="44"/>
          <w:lang w:val="en-US" w:eastAsia="zh-CN"/>
        </w:rPr>
      </w:pPr>
      <w:r>
        <w:rPr>
          <w:rFonts w:ascii="宋体" w:hAnsi="宋体" w:hint="eastAsia"/>
          <w:b/>
          <w:bCs/>
          <w:spacing w:val="100"/>
          <w:sz w:val="44"/>
          <w:szCs w:val="44"/>
        </w:rPr>
        <w:t>项目</w:t>
      </w:r>
      <w:r>
        <w:rPr>
          <w:rFonts w:ascii="宋体" w:hAnsi="宋体" w:hint="eastAsia"/>
          <w:b/>
          <w:bCs/>
          <w:spacing w:val="100"/>
          <w:sz w:val="44"/>
          <w:szCs w:val="44"/>
          <w:lang w:val="en-US" w:eastAsia="zh-CN"/>
        </w:rPr>
        <w:t>名称</w:t>
      </w:r>
    </w:p>
    <w:p>
      <w:pPr>
        <w:spacing w:line="360" w:lineRule="auto"/>
        <w:ind w:left="2306" w:hanging="1678" w:leftChars="299" w:hangingChars="466"/>
        <w:rPr>
          <w:rFonts w:ascii="宋体" w:hAnsi="宋体"/>
          <w:sz w:val="36"/>
          <w:szCs w:val="36"/>
        </w:rPr>
      </w:pPr>
    </w:p>
    <w:p>
      <w:pPr>
        <w:spacing w:after="570" w:afterLines="200" w:line="360" w:lineRule="auto"/>
        <w:ind w:left="5098" w:hanging="5098" w:hangingChars="531"/>
        <w:jc w:val="center"/>
        <w:rPr>
          <w:rFonts w:ascii="宋体" w:hAnsi="宋体"/>
          <w:b/>
          <w:sz w:val="96"/>
          <w:szCs w:val="96"/>
        </w:rPr>
      </w:pPr>
      <w:r>
        <w:rPr>
          <w:rFonts w:ascii="宋体" w:hAnsi="宋体" w:hint="eastAsia"/>
          <w:b/>
          <w:sz w:val="96"/>
          <w:szCs w:val="96"/>
        </w:rPr>
        <w:t>响应文件</w:t>
      </w:r>
    </w:p>
    <w:p>
      <w:pPr>
        <w:spacing w:before="142" w:beforeLines="50" w:after="142" w:afterLines="50" w:line="360" w:lineRule="auto"/>
        <w:jc w:val="center"/>
        <w:rPr>
          <w:rFonts w:ascii="仿宋_GB2312" w:eastAsia="仿宋_GB2312" w:hAnsi="宋体"/>
          <w:b/>
          <w:sz w:val="36"/>
          <w:szCs w:val="36"/>
        </w:rPr>
      </w:pPr>
      <w:r>
        <w:rPr>
          <w:rFonts w:ascii="仿宋_GB2312" w:eastAsia="仿宋_GB2312" w:hAnsi="宋体" w:hint="eastAsia"/>
          <w:b/>
          <w:sz w:val="36"/>
          <w:szCs w:val="36"/>
          <w:lang w:val="en-US" w:eastAsia="zh-CN"/>
        </w:rPr>
        <w:t>采购</w:t>
      </w:r>
      <w:r>
        <w:rPr>
          <w:rFonts w:ascii="仿宋_GB2312" w:eastAsia="仿宋_GB2312" w:hAnsi="宋体" w:hint="eastAsia"/>
          <w:b/>
          <w:sz w:val="36"/>
          <w:szCs w:val="36"/>
        </w:rPr>
        <w:t>编号：</w:t>
      </w:r>
    </w:p>
    <w:p>
      <w:pPr>
        <w:spacing w:line="360" w:lineRule="auto"/>
        <w:rPr>
          <w:rFonts w:ascii="宋体" w:hAnsi="宋体"/>
          <w:b/>
          <w:sz w:val="36"/>
          <w:szCs w:val="36"/>
        </w:rPr>
      </w:pPr>
    </w:p>
    <w:p>
      <w:pPr>
        <w:spacing w:line="360" w:lineRule="auto"/>
        <w:rPr>
          <w:rFonts w:ascii="宋体" w:hAnsi="宋体"/>
          <w:b/>
          <w:sz w:val="36"/>
          <w:szCs w:val="36"/>
        </w:rPr>
      </w:pPr>
    </w:p>
    <w:p>
      <w:pPr>
        <w:pStyle w:val="Default"/>
        <w:spacing w:before="428" w:beforeLines="150" w:after="428" w:afterLines="150" w:line="360" w:lineRule="auto"/>
        <w:jc w:val="both"/>
        <w:rPr>
          <w:rFonts w:ascii="仿宋_GB2312" w:eastAsia="仿宋_GB2312" w:hAnsi="宋体"/>
          <w:color w:val="auto"/>
          <w:sz w:val="28"/>
          <w:szCs w:val="28"/>
        </w:rPr>
      </w:pPr>
      <w:r>
        <w:rPr>
          <w:rFonts w:ascii="仿宋_GB2312" w:eastAsia="仿宋_GB2312" w:hAnsi="宋体" w:hint="eastAsia"/>
          <w:color w:val="auto"/>
          <w:sz w:val="28"/>
          <w:szCs w:val="28"/>
        </w:rPr>
        <w:t>供应商：（加盖电子签章）</w:t>
      </w:r>
    </w:p>
    <w:p>
      <w:pPr>
        <w:pStyle w:val="Default"/>
        <w:spacing w:before="428" w:beforeLines="150" w:after="428" w:afterLines="150" w:line="360" w:lineRule="auto"/>
        <w:jc w:val="both"/>
        <w:rPr>
          <w:rFonts w:ascii="仿宋_GB2312" w:eastAsia="仿宋_GB2312" w:hAnsi="宋体"/>
          <w:color w:val="auto"/>
          <w:sz w:val="28"/>
          <w:szCs w:val="28"/>
          <w:u w:val="single"/>
        </w:rPr>
      </w:pPr>
      <w:r>
        <w:rPr>
          <w:rFonts w:ascii="仿宋_GB2312" w:eastAsia="仿宋_GB2312" w:hAnsi="宋体" w:hint="eastAsia"/>
          <w:color w:val="auto"/>
          <w:sz w:val="28"/>
          <w:szCs w:val="28"/>
        </w:rPr>
        <w:t>法定代表人</w:t>
      </w:r>
      <w:r>
        <w:rPr>
          <w:rFonts w:ascii="仿宋_GB2312" w:eastAsia="仿宋_GB2312" w:hint="eastAsia"/>
          <w:sz w:val="28"/>
          <w:szCs w:val="28"/>
        </w:rPr>
        <w:t>（经营者）</w:t>
      </w:r>
      <w:r>
        <w:rPr>
          <w:rFonts w:ascii="仿宋_GB2312" w:eastAsia="仿宋_GB2312" w:hAnsi="宋体" w:hint="eastAsia"/>
          <w:color w:val="auto"/>
          <w:sz w:val="28"/>
          <w:szCs w:val="28"/>
        </w:rPr>
        <w:t>：（加盖电子签名）</w:t>
      </w:r>
    </w:p>
    <w:p>
      <w:pPr>
        <w:spacing w:before="428" w:beforeLines="150" w:after="428" w:afterLines="150" w:line="586" w:lineRule="atLeast"/>
        <w:rPr>
          <w:rFonts w:ascii="仿宋_GB2312" w:eastAsia="仿宋_GB2312" w:hAnsi="宋体"/>
          <w:b/>
          <w:sz w:val="28"/>
          <w:szCs w:val="28"/>
        </w:rPr>
      </w:pPr>
      <w:r>
        <w:rPr>
          <w:rFonts w:ascii="仿宋_GB2312" w:eastAsia="仿宋_GB2312" w:hAnsi="宋体" w:hint="eastAsia"/>
          <w:sz w:val="28"/>
          <w:szCs w:val="28"/>
        </w:rPr>
        <w:t>日期：年月日</w:t>
      </w:r>
    </w:p>
    <w:p>
      <w:pPr>
        <w:pageBreakBefore/>
        <w:spacing w:before="285" w:beforeLines="100" w:after="285" w:afterLines="100" w:line="586" w:lineRule="atLeast"/>
        <w:ind w:firstLine="6"/>
        <w:jc w:val="center"/>
        <w:rPr>
          <w:rFonts w:ascii="仿宋_GB2312" w:eastAsia="仿宋_GB2312"/>
          <w:b/>
          <w:spacing w:val="8"/>
          <w:sz w:val="36"/>
          <w:szCs w:val="36"/>
        </w:rPr>
      </w:pPr>
      <w:r>
        <w:rPr>
          <w:rFonts w:ascii="仿宋_GB2312" w:eastAsia="仿宋_GB2312" w:hint="eastAsia"/>
          <w:b/>
          <w:spacing w:val="8"/>
          <w:sz w:val="36"/>
          <w:szCs w:val="36"/>
        </w:rPr>
        <w:t>目录</w:t>
      </w:r>
    </w:p>
    <w:p>
      <w:pPr>
        <w:numPr>
          <w:ilvl w:val="0"/>
          <w:numId w:val="7"/>
        </w:numPr>
        <w:snapToGrid w:val="0"/>
        <w:spacing w:line="560" w:lineRule="atLeast"/>
        <w:ind w:left="425" w:hanging="425" w:leftChars="0" w:firstLineChars="0"/>
        <w:textAlignment w:val="top"/>
        <w:rPr>
          <w:rFonts w:ascii="仿宋_GB2312" w:eastAsia="仿宋_GB2312"/>
          <w:sz w:val="28"/>
          <w:szCs w:val="28"/>
        </w:rPr>
      </w:pPr>
      <w:r>
        <w:rPr>
          <w:rFonts w:ascii="仿宋_GB2312" w:eastAsia="仿宋_GB2312" w:hint="eastAsia"/>
          <w:sz w:val="28"/>
          <w:szCs w:val="28"/>
        </w:rPr>
        <w:t>谈判函</w:t>
      </w:r>
    </w:p>
    <w:p>
      <w:pPr>
        <w:numPr>
          <w:ilvl w:val="0"/>
          <w:numId w:val="7"/>
        </w:numPr>
        <w:snapToGrid w:val="0"/>
        <w:spacing w:line="560" w:lineRule="atLeast"/>
        <w:ind w:left="425" w:hanging="425" w:leftChars="0" w:firstLineChars="0"/>
        <w:textAlignment w:val="top"/>
        <w:rPr>
          <w:rFonts w:ascii="仿宋_GB2312" w:eastAsia="仿宋_GB2312" w:hint="eastAsia"/>
          <w:sz w:val="28"/>
          <w:szCs w:val="28"/>
        </w:rPr>
      </w:pPr>
      <w:r>
        <w:rPr>
          <w:rFonts w:ascii="仿宋_GB2312" w:eastAsia="仿宋_GB2312" w:hint="eastAsia"/>
          <w:sz w:val="28"/>
          <w:szCs w:val="28"/>
        </w:rPr>
        <w:t>开标一览表</w:t>
      </w:r>
    </w:p>
    <w:p>
      <w:pPr>
        <w:numPr>
          <w:ilvl w:val="0"/>
          <w:numId w:val="7"/>
        </w:numPr>
        <w:snapToGrid w:val="0"/>
        <w:spacing w:line="560" w:lineRule="atLeast"/>
        <w:ind w:left="425" w:hanging="425" w:leftChars="0" w:firstLineChars="0"/>
        <w:textAlignment w:val="top"/>
        <w:rPr>
          <w:rFonts w:ascii="仿宋_GB2312" w:eastAsia="仿宋_GB2312" w:hint="default"/>
          <w:sz w:val="28"/>
          <w:szCs w:val="28"/>
          <w:lang w:val="en-US" w:eastAsia="zh-CN"/>
        </w:rPr>
      </w:pPr>
      <w:r>
        <w:rPr>
          <w:rFonts w:ascii="仿宋_GB2312" w:eastAsia="仿宋_GB2312" w:hint="eastAsia"/>
          <w:sz w:val="28"/>
          <w:szCs w:val="28"/>
          <w:lang w:val="en-US" w:eastAsia="zh-CN"/>
        </w:rPr>
        <w:t>分项报价</w:t>
      </w:r>
    </w:p>
    <w:p>
      <w:pPr>
        <w:numPr>
          <w:ilvl w:val="0"/>
          <w:numId w:val="7"/>
        </w:numPr>
        <w:snapToGrid w:val="0"/>
        <w:spacing w:line="560" w:lineRule="atLeast"/>
        <w:ind w:left="425" w:hanging="425" w:leftChars="0" w:firstLineChars="0"/>
        <w:textAlignment w:val="top"/>
        <w:rPr>
          <w:rFonts w:ascii="仿宋_GB2312" w:eastAsia="仿宋_GB2312"/>
          <w:sz w:val="28"/>
          <w:szCs w:val="28"/>
        </w:rPr>
      </w:pPr>
      <w:r>
        <w:rPr>
          <w:rFonts w:ascii="仿宋_GB2312" w:eastAsia="仿宋_GB2312" w:hint="eastAsia"/>
          <w:sz w:val="28"/>
          <w:szCs w:val="28"/>
        </w:rPr>
        <w:t>供应商资格条件及履约承诺函</w:t>
      </w:r>
    </w:p>
    <w:p>
      <w:pPr>
        <w:numPr>
          <w:ilvl w:val="0"/>
          <w:numId w:val="7"/>
        </w:numPr>
        <w:snapToGrid w:val="0"/>
        <w:spacing w:line="560" w:lineRule="atLeast"/>
        <w:ind w:left="425" w:hanging="425" w:leftChars="0" w:firstLineChars="0"/>
        <w:textAlignment w:val="top"/>
        <w:rPr>
          <w:rFonts w:ascii="仿宋_GB2312" w:eastAsia="仿宋_GB2312"/>
          <w:sz w:val="28"/>
          <w:szCs w:val="28"/>
        </w:rPr>
      </w:pPr>
      <w:r>
        <w:rPr>
          <w:rFonts w:ascii="仿宋_GB2312" w:eastAsia="仿宋_GB2312" w:hint="eastAsia"/>
          <w:sz w:val="28"/>
          <w:szCs w:val="28"/>
        </w:rPr>
        <w:t>其他资格证明材料</w:t>
      </w:r>
    </w:p>
    <w:p>
      <w:pPr>
        <w:numPr>
          <w:ilvl w:val="0"/>
          <w:numId w:val="7"/>
        </w:numPr>
        <w:snapToGrid w:val="0"/>
        <w:spacing w:line="560" w:lineRule="atLeast"/>
        <w:ind w:left="425" w:hanging="425" w:leftChars="0" w:firstLineChars="0"/>
        <w:textAlignment w:val="top"/>
        <w:rPr>
          <w:rFonts w:ascii="仿宋_GB2312" w:eastAsia="仿宋_GB2312"/>
          <w:sz w:val="28"/>
          <w:szCs w:val="28"/>
        </w:rPr>
      </w:pPr>
      <w:r>
        <w:rPr>
          <w:rFonts w:ascii="仿宋_GB2312" w:eastAsia="仿宋_GB2312" w:hint="eastAsia"/>
          <w:sz w:val="28"/>
          <w:szCs w:val="28"/>
          <w:lang w:val="en-US" w:eastAsia="zh-CN"/>
        </w:rPr>
        <w:t>拟投入设备</w:t>
      </w:r>
      <w:r>
        <w:rPr>
          <w:rFonts w:ascii="仿宋_GB2312" w:eastAsia="仿宋_GB2312" w:hint="eastAsia"/>
          <w:sz w:val="28"/>
          <w:szCs w:val="28"/>
        </w:rPr>
        <w:t>清单及技术参数表</w:t>
      </w:r>
    </w:p>
    <w:p>
      <w:pPr>
        <w:numPr>
          <w:ilvl w:val="0"/>
          <w:numId w:val="7"/>
        </w:numPr>
        <w:snapToGrid w:val="0"/>
        <w:spacing w:line="560" w:lineRule="atLeast"/>
        <w:ind w:left="425" w:hanging="425" w:leftChars="0" w:firstLineChars="0"/>
        <w:textAlignment w:val="top"/>
        <w:rPr>
          <w:rFonts w:ascii="仿宋_GB2312" w:eastAsia="仿宋_GB2312" w:hint="eastAsia"/>
          <w:sz w:val="28"/>
          <w:szCs w:val="28"/>
        </w:rPr>
      </w:pPr>
      <w:r>
        <w:rPr>
          <w:rFonts w:ascii="仿宋_GB2312" w:eastAsia="仿宋_GB2312" w:hint="eastAsia"/>
          <w:sz w:val="28"/>
          <w:szCs w:val="28"/>
        </w:rPr>
        <w:t>偏差表</w:t>
      </w:r>
    </w:p>
    <w:p>
      <w:pPr>
        <w:numPr>
          <w:ilvl w:val="0"/>
          <w:numId w:val="7"/>
        </w:numPr>
        <w:snapToGrid w:val="0"/>
        <w:spacing w:line="560" w:lineRule="atLeast"/>
        <w:ind w:left="425" w:hanging="425" w:leftChars="0" w:firstLineChars="0"/>
        <w:textAlignment w:val="top"/>
        <w:rPr>
          <w:rFonts w:ascii="仿宋_GB2312" w:eastAsia="仿宋_GB2312" w:hint="default"/>
          <w:sz w:val="28"/>
          <w:szCs w:val="28"/>
          <w:lang w:val="en-US" w:eastAsia="zh-CN"/>
        </w:rPr>
      </w:pPr>
      <w:r>
        <w:rPr>
          <w:rFonts w:ascii="仿宋_GB2312" w:eastAsia="仿宋_GB2312" w:hint="eastAsia"/>
          <w:sz w:val="28"/>
          <w:szCs w:val="28"/>
          <w:lang w:val="en-US" w:eastAsia="zh-CN"/>
        </w:rPr>
        <w:t>拟投入的人员情况表</w:t>
      </w:r>
    </w:p>
    <w:p>
      <w:pPr>
        <w:numPr>
          <w:ilvl w:val="0"/>
          <w:numId w:val="7"/>
        </w:numPr>
        <w:snapToGrid w:val="0"/>
        <w:spacing w:line="560" w:lineRule="atLeast"/>
        <w:ind w:left="425" w:hanging="425" w:leftChars="0" w:firstLineChars="0"/>
        <w:textAlignment w:val="top"/>
        <w:rPr>
          <w:rFonts w:ascii="仿宋_GB2312" w:eastAsia="仿宋_GB2312" w:hint="default"/>
          <w:sz w:val="28"/>
          <w:szCs w:val="28"/>
          <w:lang w:val="en-US" w:eastAsia="zh-CN"/>
        </w:rPr>
      </w:pPr>
      <w:r>
        <w:rPr>
          <w:rFonts w:ascii="仿宋_GB2312" w:eastAsia="仿宋_GB2312" w:hint="eastAsia"/>
          <w:sz w:val="28"/>
          <w:szCs w:val="28"/>
          <w:lang w:val="en-US" w:eastAsia="zh-CN"/>
        </w:rPr>
        <w:t>服务方案</w:t>
      </w:r>
    </w:p>
    <w:p>
      <w:pPr>
        <w:numPr>
          <w:ilvl w:val="0"/>
          <w:numId w:val="7"/>
        </w:numPr>
        <w:spacing w:line="586" w:lineRule="atLeast"/>
        <w:ind w:left="425" w:hanging="425" w:leftChars="0" w:firstLineChars="0"/>
        <w:rPr>
          <w:rFonts w:ascii="仿宋_GB2312" w:eastAsia="仿宋_GB2312"/>
          <w:sz w:val="28"/>
          <w:szCs w:val="28"/>
        </w:rPr>
      </w:pPr>
      <w:r>
        <w:rPr>
          <w:rFonts w:ascii="仿宋_GB2312" w:eastAsia="仿宋_GB2312" w:hint="eastAsia"/>
          <w:sz w:val="28"/>
          <w:szCs w:val="28"/>
        </w:rPr>
        <w:t>投标承诺函</w:t>
      </w:r>
    </w:p>
    <w:p>
      <w:pPr>
        <w:numPr>
          <w:ilvl w:val="0"/>
          <w:numId w:val="7"/>
        </w:numPr>
        <w:spacing w:line="586" w:lineRule="atLeast"/>
        <w:ind w:left="425" w:hanging="425" w:leftChars="0" w:firstLineChars="0"/>
        <w:rPr>
          <w:rFonts w:ascii="仿宋_GB2312" w:eastAsia="仿宋_GB2312"/>
          <w:sz w:val="28"/>
          <w:szCs w:val="28"/>
        </w:rPr>
      </w:pPr>
      <w:r>
        <w:rPr>
          <w:rFonts w:ascii="仿宋_GB2312" w:eastAsia="仿宋_GB2312" w:hint="eastAsia"/>
          <w:sz w:val="28"/>
          <w:szCs w:val="28"/>
        </w:rPr>
        <w:t>中小企业声明函</w:t>
      </w:r>
    </w:p>
    <w:p>
      <w:pPr>
        <w:numPr>
          <w:ilvl w:val="0"/>
          <w:numId w:val="7"/>
        </w:numPr>
        <w:spacing w:line="586" w:lineRule="atLeast"/>
        <w:ind w:left="425" w:hanging="425" w:leftChars="0" w:firstLineChars="0"/>
        <w:rPr>
          <w:rFonts w:ascii="仿宋_GB2312" w:eastAsia="仿宋_GB2312"/>
          <w:sz w:val="28"/>
          <w:szCs w:val="28"/>
        </w:rPr>
      </w:pPr>
      <w:r>
        <w:rPr>
          <w:rFonts w:ascii="仿宋_GB2312" w:eastAsia="仿宋_GB2312" w:hint="eastAsia"/>
          <w:sz w:val="28"/>
          <w:szCs w:val="28"/>
        </w:rPr>
        <w:t>残疾人福利性单位声明函（如需要）</w:t>
      </w:r>
    </w:p>
    <w:p>
      <w:pPr>
        <w:numPr>
          <w:ilvl w:val="0"/>
          <w:numId w:val="7"/>
        </w:numPr>
        <w:snapToGrid w:val="0"/>
        <w:spacing w:line="560" w:lineRule="atLeast"/>
        <w:ind w:left="425" w:hanging="425" w:leftChars="0" w:firstLineChars="0"/>
        <w:textAlignment w:val="top"/>
        <w:rPr>
          <w:rFonts w:ascii="仿宋_GB2312" w:eastAsia="仿宋_GB2312"/>
          <w:sz w:val="28"/>
          <w:szCs w:val="28"/>
        </w:rPr>
      </w:pPr>
      <w:r>
        <w:rPr>
          <w:rFonts w:ascii="仿宋_GB2312" w:eastAsia="仿宋_GB2312" w:hint="eastAsia"/>
          <w:sz w:val="28"/>
          <w:szCs w:val="28"/>
        </w:rPr>
        <w:t>其他证明材料（如需要）</w:t>
      </w:r>
    </w:p>
    <w:p>
      <w:pPr>
        <w:pageBreakBefore/>
        <w:numPr>
          <w:ilvl w:val="0"/>
          <w:numId w:val="8"/>
        </w:numPr>
        <w:spacing w:line="752" w:lineRule="atLeast"/>
        <w:ind w:left="425" w:hanging="425" w:leftChars="0" w:firstLineChars="0"/>
        <w:jc w:val="center"/>
        <w:outlineLvl w:val="0"/>
        <w:rPr>
          <w:rFonts w:ascii="宋体" w:hAnsi="宋体"/>
          <w:b/>
          <w:sz w:val="44"/>
        </w:rPr>
      </w:pPr>
      <w:r>
        <w:rPr>
          <w:rFonts w:ascii="宋体" w:hAnsi="宋体" w:hint="eastAsia"/>
          <w:b/>
          <w:sz w:val="44"/>
        </w:rPr>
        <w:t>谈判函</w:t>
      </w:r>
    </w:p>
    <w:p>
      <w:pPr>
        <w:spacing w:after="142" w:afterLines="50" w:line="540" w:lineRule="exact"/>
        <w:rPr>
          <w:rFonts w:ascii="仿宋_GB2312" w:eastAsia="仿宋_GB2312"/>
          <w:spacing w:val="11"/>
          <w:sz w:val="28"/>
          <w:szCs w:val="28"/>
        </w:rPr>
      </w:pPr>
      <w:r>
        <w:rPr>
          <w:rFonts w:ascii="仿宋_GB2312" w:eastAsia="仿宋_GB2312" w:hint="eastAsia"/>
          <w:sz w:val="28"/>
          <w:szCs w:val="28"/>
        </w:rPr>
        <w:t>致：</w:t>
      </w:r>
      <w:r>
        <w:rPr>
          <w:rFonts w:ascii="仿宋_GB2312" w:eastAsia="仿宋_GB2312" w:hint="eastAsia"/>
          <w:spacing w:val="11"/>
          <w:sz w:val="28"/>
          <w:szCs w:val="28"/>
          <w:u w:val="single"/>
        </w:rPr>
        <w:t xml:space="preserve">(采购人名称）    </w:t>
      </w:r>
    </w:p>
    <w:p>
      <w:pPr>
        <w:spacing w:line="540" w:lineRule="exact"/>
        <w:ind w:left="141" w:firstLine="714" w:leftChars="67" w:firstLineChars="255"/>
        <w:textAlignment w:val="top"/>
        <w:rPr>
          <w:rFonts w:ascii="仿宋_GB2312" w:eastAsia="仿宋_GB2312"/>
          <w:sz w:val="28"/>
          <w:szCs w:val="28"/>
        </w:rPr>
      </w:pPr>
      <w:r>
        <w:rPr>
          <w:rFonts w:ascii="仿宋_GB2312" w:eastAsia="仿宋_GB2312" w:hint="eastAsia"/>
          <w:sz w:val="28"/>
          <w:szCs w:val="28"/>
        </w:rPr>
        <w:t>我们收到了采购编号为</w:t>
      </w:r>
      <w:r>
        <w:rPr>
          <w:rFonts w:ascii="仿宋_GB2312" w:eastAsia="仿宋_GB2312" w:hint="eastAsia"/>
          <w:sz w:val="28"/>
          <w:szCs w:val="28"/>
          <w:u w:val="single"/>
          <w:lang w:val="en-US" w:eastAsia="zh-CN"/>
        </w:rPr>
        <w:t xml:space="preserve">          </w:t>
      </w:r>
      <w:r>
        <w:rPr>
          <w:rFonts w:ascii="仿宋_GB2312" w:eastAsia="仿宋_GB2312" w:hint="eastAsia"/>
          <w:sz w:val="28"/>
          <w:szCs w:val="28"/>
          <w:lang w:val="en-US" w:eastAsia="zh-CN"/>
        </w:rPr>
        <w:t xml:space="preserve"> </w:t>
      </w:r>
      <w:r>
        <w:rPr>
          <w:rFonts w:ascii="仿宋_GB2312" w:eastAsia="仿宋_GB2312" w:hint="eastAsia"/>
          <w:sz w:val="28"/>
          <w:szCs w:val="28"/>
        </w:rPr>
        <w:t>的</w:t>
      </w:r>
      <w:r>
        <w:rPr>
          <w:rFonts w:ascii="仿宋_GB2312" w:eastAsia="仿宋_GB2312" w:hint="eastAsia"/>
          <w:sz w:val="28"/>
          <w:szCs w:val="28"/>
          <w:u w:val="single"/>
        </w:rPr>
        <w:t xml:space="preserve">    （项目名称）  </w:t>
      </w:r>
      <w:r>
        <w:rPr>
          <w:rFonts w:ascii="仿宋_GB2312" w:eastAsia="仿宋_GB2312" w:hint="eastAsia"/>
          <w:sz w:val="28"/>
          <w:szCs w:val="28"/>
        </w:rPr>
        <w:t xml:space="preserve">  采购文件，经详细研究，我们决定参加该项目的采购活动并按要求提交响应文件。我们郑重声明以下诸点并负法律责任:</w:t>
      </w:r>
    </w:p>
    <w:p>
      <w:pPr>
        <w:snapToGrid w:val="0"/>
        <w:spacing w:line="540" w:lineRule="exact"/>
        <w:ind w:firstLine="555"/>
        <w:rPr>
          <w:rFonts w:ascii="仿宋_GB2312" w:eastAsia="仿宋_GB2312"/>
          <w:sz w:val="28"/>
          <w:szCs w:val="28"/>
        </w:rPr>
      </w:pPr>
      <w:r>
        <w:rPr>
          <w:rFonts w:ascii="仿宋_GB2312" w:eastAsia="仿宋_GB2312" w:hint="eastAsia"/>
          <w:sz w:val="28"/>
          <w:szCs w:val="28"/>
        </w:rPr>
        <w:t>1.愿按照采购文件中规定的条款和要求，提供完成采购文件规定的全部工作，</w:t>
      </w:r>
      <w:r>
        <w:rPr>
          <w:rFonts w:ascii="仿宋_GB2312" w:eastAsia="仿宋_GB2312" w:hint="eastAsia"/>
          <w:sz w:val="28"/>
          <w:szCs w:val="28"/>
          <w:lang w:val="en-US" w:eastAsia="zh-CN"/>
        </w:rPr>
        <w:t>投标总报价人民币</w:t>
      </w:r>
      <w:r>
        <w:rPr>
          <w:rFonts w:ascii="仿宋_GB2312" w:eastAsia="仿宋_GB2312" w:hint="eastAsia"/>
          <w:sz w:val="28"/>
          <w:szCs w:val="28"/>
        </w:rPr>
        <w:t>（大写）</w:t>
      </w:r>
      <w:r>
        <w:rPr>
          <w:rFonts w:ascii="仿宋_GB2312" w:eastAsia="仿宋_GB2312" w:hint="eastAsia"/>
          <w:sz w:val="28"/>
          <w:szCs w:val="28"/>
          <w:u w:val="single"/>
        </w:rPr>
        <w:tab/>
      </w:r>
      <w:r>
        <w:rPr>
          <w:rFonts w:ascii="仿宋_GB2312" w:eastAsia="仿宋_GB2312" w:hint="eastAsia"/>
          <w:sz w:val="28"/>
          <w:szCs w:val="28"/>
          <w:u w:val="single"/>
          <w:lang w:val="en-US" w:eastAsia="zh-CN"/>
        </w:rPr>
        <w:t xml:space="preserve">        </w:t>
      </w:r>
      <w:r>
        <w:rPr>
          <w:rFonts w:ascii="仿宋_GB2312" w:eastAsia="仿宋_GB2312" w:hint="eastAsia"/>
          <w:sz w:val="28"/>
          <w:szCs w:val="28"/>
        </w:rPr>
        <w:t>，（ 小写 ）</w:t>
      </w:r>
      <w:r>
        <w:rPr>
          <w:rFonts w:ascii="仿宋_GB2312" w:eastAsia="仿宋_GB2312" w:hint="eastAsia"/>
          <w:sz w:val="28"/>
          <w:szCs w:val="28"/>
          <w:u w:val="single"/>
        </w:rPr>
        <w:t xml:space="preserve">         </w:t>
      </w:r>
      <w:r>
        <w:rPr>
          <w:rFonts w:ascii="仿宋_GB2312" w:eastAsia="仿宋_GB2312" w:hint="eastAsia"/>
          <w:sz w:val="28"/>
          <w:szCs w:val="28"/>
        </w:rPr>
        <w:t>。</w:t>
      </w:r>
    </w:p>
    <w:p>
      <w:pPr>
        <w:snapToGrid w:val="0"/>
        <w:spacing w:line="540" w:lineRule="exact"/>
        <w:ind w:firstLine="555"/>
        <w:rPr>
          <w:rFonts w:ascii="仿宋_GB2312" w:eastAsia="仿宋_GB2312"/>
          <w:sz w:val="28"/>
          <w:szCs w:val="28"/>
          <w:highlight w:val="none"/>
        </w:rPr>
      </w:pPr>
      <w:r>
        <w:rPr>
          <w:rFonts w:ascii="仿宋_GB2312" w:eastAsia="仿宋_GB2312" w:hint="eastAsia"/>
          <w:sz w:val="28"/>
          <w:szCs w:val="28"/>
          <w:highlight w:val="none"/>
        </w:rPr>
        <w:t>2.我们将依照采购文件中规定的每一项要求，按质、按量履行合同，承诺</w:t>
      </w:r>
      <w:r>
        <w:rPr>
          <w:rFonts w:ascii="仿宋" w:eastAsia="仿宋" w:hAnsi="仿宋" w:cs="仿宋" w:hint="eastAsia"/>
          <w:sz w:val="28"/>
          <w:szCs w:val="28"/>
          <w:highlight w:val="none"/>
          <w:lang w:eastAsia="zh-CN"/>
        </w:rPr>
        <w:t>合同履行期限</w:t>
      </w:r>
      <w:r>
        <w:rPr>
          <w:rFonts w:ascii="仿宋" w:eastAsia="仿宋" w:hAnsi="仿宋" w:cs="仿宋" w:hint="eastAsia"/>
          <w:sz w:val="28"/>
          <w:szCs w:val="28"/>
          <w:highlight w:val="none"/>
          <w:lang w:val="en-US" w:eastAsia="zh-CN"/>
        </w:rPr>
        <w:t xml:space="preserve"> </w:t>
      </w:r>
      <w:r>
        <w:rPr>
          <w:rFonts w:ascii="仿宋" w:eastAsia="仿宋" w:hAnsi="仿宋" w:cs="仿宋" w:hint="eastAsia"/>
          <w:sz w:val="28"/>
          <w:szCs w:val="28"/>
          <w:highlight w:val="none"/>
          <w:u w:val="single"/>
          <w:lang w:val="en-US" w:eastAsia="zh-CN"/>
        </w:rPr>
        <w:t xml:space="preserve">          </w:t>
      </w:r>
      <w:r>
        <w:rPr>
          <w:rFonts w:ascii="仿宋" w:eastAsia="仿宋" w:hAnsi="仿宋" w:cs="仿宋" w:hint="eastAsia"/>
          <w:sz w:val="28"/>
          <w:szCs w:val="28"/>
          <w:highlight w:val="none"/>
          <w:lang w:val="en-US" w:eastAsia="zh-CN"/>
        </w:rPr>
        <w:t xml:space="preserve"> </w:t>
      </w:r>
      <w:r>
        <w:rPr>
          <w:rFonts w:ascii="仿宋_GB2312" w:eastAsia="仿宋_GB2312" w:hint="eastAsia"/>
          <w:sz w:val="28"/>
          <w:szCs w:val="28"/>
          <w:highlight w:val="none"/>
        </w:rPr>
        <w:t>。</w:t>
      </w:r>
    </w:p>
    <w:p>
      <w:pPr>
        <w:snapToGrid w:val="0"/>
        <w:spacing w:line="540" w:lineRule="exact"/>
        <w:ind w:firstLine="555"/>
        <w:rPr>
          <w:rFonts w:ascii="仿宋_GB2312" w:eastAsia="仿宋_GB2312"/>
          <w:sz w:val="28"/>
          <w:szCs w:val="28"/>
        </w:rPr>
      </w:pPr>
      <w:r>
        <w:rPr>
          <w:rFonts w:ascii="仿宋_GB2312" w:eastAsia="仿宋_GB2312" w:hint="eastAsia"/>
          <w:sz w:val="28"/>
          <w:szCs w:val="28"/>
          <w:highlight w:val="none"/>
        </w:rPr>
        <w:t>3.我</w:t>
      </w:r>
      <w:r>
        <w:rPr>
          <w:rFonts w:ascii="仿宋_GB2312" w:eastAsia="仿宋_GB2312" w:hint="eastAsia"/>
          <w:sz w:val="28"/>
          <w:szCs w:val="28"/>
        </w:rPr>
        <w:t>们已详细阅读全部采购文件，包括修改文件以及全部参考资料和有关附件。我们完全理解并同意放弃对这方面有不明及误解的权力。</w:t>
      </w:r>
    </w:p>
    <w:p>
      <w:pPr>
        <w:snapToGrid w:val="0"/>
        <w:spacing w:line="540" w:lineRule="exact"/>
        <w:ind w:firstLine="555"/>
        <w:rPr>
          <w:rFonts w:ascii="仿宋_GB2312" w:eastAsia="仿宋_GB2312"/>
          <w:sz w:val="28"/>
          <w:szCs w:val="28"/>
        </w:rPr>
      </w:pPr>
      <w:r>
        <w:rPr>
          <w:rFonts w:ascii="仿宋_GB2312" w:eastAsia="仿宋_GB2312" w:hint="eastAsia"/>
          <w:sz w:val="28"/>
          <w:szCs w:val="28"/>
        </w:rPr>
        <w:t>4.同意提供按照贵方可能要求的与其谈判有关的一切数据或资料，理解贵方不一定要接受最低价的谈判。</w:t>
      </w:r>
    </w:p>
    <w:p>
      <w:pPr>
        <w:snapToGrid w:val="0"/>
        <w:spacing w:line="540" w:lineRule="exact"/>
        <w:ind w:firstLine="555"/>
        <w:rPr>
          <w:rFonts w:ascii="仿宋_GB2312" w:eastAsia="仿宋_GB2312"/>
          <w:color w:val="000000"/>
          <w:sz w:val="28"/>
          <w:szCs w:val="28"/>
          <w:shd w:val="clear" w:color="auto" w:fill="FFFFFF"/>
        </w:rPr>
      </w:pPr>
      <w:r>
        <w:rPr>
          <w:rFonts w:ascii="仿宋_GB2312" w:eastAsia="仿宋_GB2312" w:hint="eastAsia"/>
          <w:sz w:val="28"/>
          <w:szCs w:val="28"/>
        </w:rPr>
        <w:t>5.我单位承诺响应有效期为</w:t>
      </w:r>
      <w:r>
        <w:rPr>
          <w:rFonts w:ascii="仿宋_GB2312" w:eastAsia="仿宋_GB2312" w:hint="eastAsia"/>
          <w:sz w:val="28"/>
          <w:szCs w:val="28"/>
          <w:u w:val="single"/>
        </w:rPr>
        <w:t xml:space="preserve">  90 </w:t>
      </w:r>
      <w:r>
        <w:rPr>
          <w:rFonts w:ascii="仿宋_GB2312" w:eastAsia="仿宋_GB2312" w:hint="eastAsia"/>
          <w:sz w:val="28"/>
          <w:szCs w:val="28"/>
        </w:rPr>
        <w:t>日</w:t>
      </w:r>
      <w:r>
        <w:rPr>
          <w:rFonts w:ascii="仿宋_GB2312" w:eastAsia="仿宋_GB2312" w:hint="eastAsia"/>
          <w:color w:val="000000"/>
          <w:sz w:val="28"/>
          <w:szCs w:val="28"/>
          <w:shd w:val="clear" w:color="auto" w:fill="FFFFFF"/>
        </w:rPr>
        <w:t>。</w:t>
      </w:r>
    </w:p>
    <w:p>
      <w:pPr>
        <w:snapToGrid w:val="0"/>
        <w:spacing w:line="540" w:lineRule="exact"/>
        <w:ind w:firstLine="555"/>
        <w:rPr>
          <w:rFonts w:ascii="仿宋_GB2312" w:eastAsia="仿宋_GB2312"/>
          <w:sz w:val="28"/>
          <w:szCs w:val="28"/>
        </w:rPr>
      </w:pPr>
      <w:r>
        <w:rPr>
          <w:rFonts w:ascii="仿宋_GB2312" w:eastAsia="仿宋_GB2312" w:hint="eastAsia"/>
          <w:sz w:val="28"/>
          <w:szCs w:val="28"/>
        </w:rPr>
        <w:t>6.我们愿按《中华人民共和国民法典》履行其的全部责任。</w:t>
      </w:r>
    </w:p>
    <w:p>
      <w:pPr>
        <w:snapToGrid w:val="0"/>
        <w:spacing w:line="540" w:lineRule="exact"/>
        <w:ind w:firstLine="555"/>
        <w:rPr>
          <w:rFonts w:ascii="仿宋_GB2312" w:eastAsia="仿宋_GB2312"/>
          <w:sz w:val="28"/>
          <w:szCs w:val="28"/>
        </w:rPr>
      </w:pPr>
      <w:r>
        <w:rPr>
          <w:rFonts w:ascii="仿宋_GB2312" w:eastAsia="仿宋_GB2312" w:hint="eastAsia"/>
          <w:sz w:val="28"/>
          <w:szCs w:val="28"/>
        </w:rPr>
        <w:t>与本谈判有关的一切正式往来请寄：</w:t>
      </w:r>
    </w:p>
    <w:p>
      <w:pPr>
        <w:snapToGrid w:val="0"/>
        <w:spacing w:line="500" w:lineRule="exact"/>
        <w:ind w:right="85" w:firstLine="420" w:firstLineChars="150"/>
        <w:jc w:val="left"/>
        <w:textAlignment w:val="top"/>
        <w:rPr>
          <w:rFonts w:ascii="仿宋_GB2312" w:eastAsia="仿宋_GB2312"/>
          <w:sz w:val="28"/>
          <w:szCs w:val="28"/>
        </w:rPr>
      </w:pPr>
      <w:r>
        <w:rPr>
          <w:rFonts w:ascii="仿宋_GB2312" w:eastAsia="仿宋_GB2312" w:hint="eastAsia"/>
          <w:sz w:val="28"/>
          <w:szCs w:val="28"/>
        </w:rPr>
        <w:t>联系人：</w:t>
      </w:r>
    </w:p>
    <w:p>
      <w:pPr>
        <w:snapToGrid w:val="0"/>
        <w:spacing w:line="500" w:lineRule="exact"/>
        <w:ind w:right="85" w:firstLine="420" w:firstLineChars="150"/>
        <w:jc w:val="left"/>
        <w:textAlignment w:val="top"/>
        <w:rPr>
          <w:rFonts w:ascii="仿宋_GB2312" w:eastAsia="仿宋_GB2312"/>
          <w:sz w:val="28"/>
          <w:szCs w:val="28"/>
        </w:rPr>
      </w:pPr>
      <w:r>
        <w:rPr>
          <w:rFonts w:ascii="仿宋_GB2312" w:eastAsia="仿宋_GB2312" w:hint="eastAsia"/>
          <w:sz w:val="28"/>
          <w:szCs w:val="28"/>
        </w:rPr>
        <w:t>联系地址：</w:t>
      </w:r>
      <w:r>
        <w:rPr>
          <w:rFonts w:ascii="仿宋_GB2312" w:eastAsia="仿宋_GB2312" w:hint="eastAsia"/>
          <w:sz w:val="28"/>
          <w:szCs w:val="28"/>
        </w:rPr>
        <w:tab/>
      </w:r>
      <w:r>
        <w:rPr>
          <w:rFonts w:ascii="仿宋_GB2312" w:eastAsia="仿宋_GB2312" w:hint="eastAsia"/>
          <w:sz w:val="28"/>
          <w:szCs w:val="28"/>
        </w:rPr>
        <w:tab/>
      </w:r>
    </w:p>
    <w:p>
      <w:pPr>
        <w:snapToGrid w:val="0"/>
        <w:spacing w:line="500" w:lineRule="exact"/>
        <w:ind w:right="85" w:firstLine="420" w:firstLineChars="150"/>
        <w:jc w:val="left"/>
        <w:textAlignment w:val="top"/>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ab/>
      </w:r>
      <w:r>
        <w:rPr>
          <w:rFonts w:ascii="仿宋_GB2312" w:eastAsia="仿宋_GB2312" w:hint="eastAsia"/>
          <w:sz w:val="28"/>
          <w:szCs w:val="28"/>
        </w:rPr>
        <w:tab/>
      </w:r>
    </w:p>
    <w:p>
      <w:pPr>
        <w:snapToGrid w:val="0"/>
        <w:spacing w:line="500" w:lineRule="exact"/>
        <w:ind w:right="641" w:firstLine="2520" w:firstLineChars="900"/>
        <w:rPr>
          <w:rFonts w:ascii="仿宋_GB2312" w:eastAsia="仿宋_GB2312"/>
          <w:sz w:val="28"/>
          <w:szCs w:val="28"/>
        </w:rPr>
      </w:pPr>
      <w:r>
        <w:rPr>
          <w:rFonts w:ascii="仿宋_GB2312" w:eastAsia="仿宋_GB2312" w:hint="eastAsia"/>
          <w:sz w:val="28"/>
          <w:szCs w:val="28"/>
        </w:rPr>
        <w:t>法定代表人（电子签名）：</w:t>
      </w:r>
    </w:p>
    <w:p>
      <w:pPr>
        <w:snapToGrid w:val="0"/>
        <w:spacing w:line="500" w:lineRule="exact"/>
        <w:ind w:right="641" w:firstLine="2520" w:firstLineChars="900"/>
        <w:rPr>
          <w:rFonts w:ascii="仿宋_GB2312" w:eastAsia="仿宋_GB2312"/>
          <w:sz w:val="28"/>
          <w:szCs w:val="28"/>
        </w:rPr>
      </w:pPr>
      <w:r>
        <w:rPr>
          <w:rFonts w:ascii="仿宋_GB2312" w:eastAsia="仿宋_GB2312" w:hint="eastAsia"/>
          <w:sz w:val="28"/>
          <w:szCs w:val="28"/>
        </w:rPr>
        <w:t>供应商（电子签章）：</w:t>
      </w:r>
    </w:p>
    <w:p>
      <w:pPr>
        <w:snapToGrid w:val="0"/>
        <w:spacing w:line="500" w:lineRule="exact"/>
        <w:ind w:right="641" w:firstLine="2520" w:firstLineChars="900"/>
        <w:rPr>
          <w:rFonts w:ascii="仿宋_GB2312" w:eastAsia="仿宋_GB2312"/>
          <w:sz w:val="28"/>
          <w:szCs w:val="28"/>
        </w:rPr>
      </w:pPr>
      <w:r>
        <w:rPr>
          <w:rFonts w:ascii="仿宋_GB2312" w:eastAsia="仿宋_GB2312" w:hint="eastAsia"/>
          <w:sz w:val="28"/>
          <w:szCs w:val="28"/>
        </w:rPr>
        <w:t>日期：</w:t>
      </w:r>
    </w:p>
    <w:p>
      <w:pPr>
        <w:snapToGrid w:val="0"/>
        <w:spacing w:line="500" w:lineRule="exact"/>
        <w:ind w:right="641" w:firstLine="2520" w:firstLineChars="900"/>
        <w:rPr>
          <w:rFonts w:ascii="仿宋_GB2312" w:eastAsia="仿宋_GB2312"/>
          <w:sz w:val="28"/>
          <w:szCs w:val="28"/>
        </w:rPr>
      </w:pPr>
    </w:p>
    <w:p>
      <w:pPr>
        <w:snapToGrid w:val="0"/>
        <w:spacing w:line="500" w:lineRule="exact"/>
        <w:ind w:right="641" w:firstLine="2520" w:firstLineChars="900"/>
        <w:rPr>
          <w:rFonts w:ascii="仿宋_GB2312" w:eastAsia="仿宋_GB2312"/>
          <w:sz w:val="28"/>
          <w:szCs w:val="28"/>
        </w:rPr>
      </w:pPr>
    </w:p>
    <w:p>
      <w:pPr>
        <w:snapToGrid w:val="0"/>
        <w:spacing w:line="500" w:lineRule="exact"/>
        <w:ind w:right="641" w:firstLine="2520" w:firstLineChars="900"/>
        <w:rPr>
          <w:rFonts w:ascii="仿宋_GB2312" w:eastAsia="仿宋_GB2312"/>
          <w:sz w:val="28"/>
          <w:szCs w:val="28"/>
        </w:rPr>
      </w:pPr>
    </w:p>
    <w:p>
      <w:pPr>
        <w:snapToGrid w:val="0"/>
        <w:spacing w:line="500" w:lineRule="exact"/>
        <w:ind w:right="641" w:firstLine="2520" w:firstLineChars="900"/>
        <w:rPr>
          <w:rFonts w:ascii="仿宋_GB2312" w:eastAsia="仿宋_GB2312"/>
          <w:sz w:val="28"/>
          <w:szCs w:val="28"/>
        </w:rPr>
      </w:pPr>
    </w:p>
    <w:p>
      <w:pPr>
        <w:pageBreakBefore/>
        <w:numPr>
          <w:ilvl w:val="0"/>
          <w:numId w:val="8"/>
        </w:numPr>
        <w:spacing w:line="752" w:lineRule="atLeast"/>
        <w:ind w:left="425" w:hanging="425" w:leftChars="0" w:firstLineChars="0"/>
        <w:jc w:val="center"/>
        <w:outlineLvl w:val="0"/>
        <w:rPr>
          <w:rFonts w:ascii="宋体" w:hAnsi="宋体" w:hint="eastAsia"/>
          <w:b/>
          <w:sz w:val="44"/>
        </w:rPr>
      </w:pPr>
      <w:r>
        <w:rPr>
          <w:rFonts w:ascii="宋体" w:hAnsi="宋体" w:hint="eastAsia"/>
          <w:b/>
          <w:sz w:val="44"/>
        </w:rPr>
        <w:t>开标一览表</w:t>
      </w:r>
    </w:p>
    <w:p>
      <w:pPr>
        <w:pStyle w:val="List2"/>
        <w:ind w:left="560" w:firstLine="0" w:leftChars="0" w:firstLineChars="0"/>
      </w:pPr>
      <w:r>
        <w:rPr>
          <w:rFonts w:ascii="仿宋_GB2312" w:eastAsia="仿宋_GB2312" w:hint="eastAsia"/>
          <w:sz w:val="28"/>
          <w:szCs w:val="28"/>
        </w:rPr>
        <w:t>注：供应商需在“安阳市政府采购投标文件编制系统”中、按系统要求填列开标一览表，填列的开标一览表为供应商投标文件 (响应文件) 的一部分。本次政府采购项目专门面向中小企业，专门面向中小企业的采购项目无价格扣除。投标人无需在“投标文件编制系统”报价表中选择“是否享受价格折扣、折扣率（</w:t>
      </w:r>
      <w:r>
        <w:rPr>
          <w:rFonts w:ascii="仿宋_GB2312" w:eastAsia="仿宋_GB2312"/>
          <w:sz w:val="28"/>
          <w:szCs w:val="28"/>
        </w:rPr>
        <w:t>%</w:t>
      </w:r>
      <w:r>
        <w:rPr>
          <w:rFonts w:ascii="仿宋_GB2312" w:eastAsia="仿宋_GB2312" w:hint="eastAsia"/>
          <w:sz w:val="28"/>
          <w:szCs w:val="28"/>
        </w:rPr>
        <w:t>）</w:t>
      </w:r>
    </w:p>
    <w:p>
      <w:pPr>
        <w:pageBreakBefore/>
        <w:numPr>
          <w:ilvl w:val="0"/>
          <w:numId w:val="8"/>
        </w:numPr>
        <w:spacing w:line="752" w:lineRule="atLeast"/>
        <w:ind w:left="425" w:hanging="425" w:leftChars="0" w:firstLineChars="0"/>
        <w:jc w:val="center"/>
        <w:outlineLvl w:val="0"/>
        <w:rPr>
          <w:rFonts w:ascii="宋体" w:hAnsi="宋体" w:hint="eastAsia"/>
          <w:b/>
          <w:sz w:val="44"/>
        </w:rPr>
      </w:pPr>
      <w:r>
        <w:rPr>
          <w:rFonts w:ascii="宋体" w:hAnsi="宋体" w:hint="eastAsia"/>
          <w:b/>
          <w:sz w:val="44"/>
        </w:rPr>
        <w:t>分项报价</w:t>
      </w:r>
    </w:p>
    <w:p>
      <w:pPr>
        <w:widowControl w:val="0"/>
        <w:snapToGrid w:val="0"/>
        <w:spacing w:line="560" w:lineRule="exact"/>
        <w:jc w:val="left"/>
        <w:rPr>
          <w:b/>
          <w:color w:val="auto"/>
          <w:sz w:val="24"/>
          <w:szCs w:val="24"/>
        </w:rPr>
      </w:pPr>
    </w:p>
    <w:p>
      <w:pPr>
        <w:pStyle w:val="List2"/>
        <w:ind w:left="0" w:firstLine="0" w:leftChars="0" w:firstLineChars="0"/>
        <w:rPr>
          <w:rFonts w:ascii="仿宋_GB2312" w:eastAsia="仿宋_GB2312" w:hint="eastAsia"/>
          <w:sz w:val="28"/>
          <w:szCs w:val="28"/>
        </w:rPr>
      </w:pPr>
      <w:r>
        <w:rPr>
          <w:rFonts w:ascii="仿宋_GB2312" w:eastAsia="仿宋_GB2312" w:hint="eastAsia"/>
          <w:sz w:val="28"/>
          <w:szCs w:val="28"/>
        </w:rPr>
        <w:t>投标人需在“安阳市政府采购投标文件编制系统”中、按系统要求填列分项报价，系统中填列的分项报价为投标人《投标文件》（响应文件）的一部分。</w:t>
      </w:r>
    </w:p>
    <w:p>
      <w:pPr>
        <w:pStyle w:val="List2"/>
        <w:ind w:left="0" w:firstLine="0" w:leftChars="0" w:firstLineChars="0"/>
        <w:rPr>
          <w:rFonts w:ascii="仿宋_GB2312" w:eastAsia="仿宋_GB2312" w:hint="eastAsia"/>
          <w:sz w:val="28"/>
          <w:szCs w:val="28"/>
        </w:rPr>
      </w:pPr>
      <w:r>
        <w:rPr>
          <w:rFonts w:ascii="仿宋_GB2312" w:eastAsia="仿宋_GB2312" w:hint="eastAsia"/>
          <w:sz w:val="28"/>
          <w:szCs w:val="28"/>
        </w:rPr>
        <w:t>基于电子化交易的特点，投标人上传解密后的《开标一览表》、《分项报价表》、《符合性响应文件》，构成《投标文件》（响应文件）的组成部分。</w:t>
      </w:r>
    </w:p>
    <w:p>
      <w:pPr>
        <w:pStyle w:val="List2"/>
        <w:ind w:left="0" w:firstLine="0" w:leftChars="0" w:firstLineChars="0"/>
        <w:rPr>
          <w:rFonts w:ascii="仿宋_GB2312" w:eastAsia="仿宋_GB2312" w:hint="eastAsia"/>
          <w:sz w:val="28"/>
          <w:szCs w:val="28"/>
        </w:rPr>
      </w:pPr>
      <w:r>
        <w:rPr>
          <w:rFonts w:ascii="仿宋_GB2312" w:eastAsia="仿宋_GB2312" w:hint="eastAsia"/>
          <w:sz w:val="28"/>
          <w:szCs w:val="28"/>
        </w:rPr>
        <w:t>《开标一览表》、《分项报价表》无需另行填列。</w:t>
      </w:r>
    </w:p>
    <w:p>
      <w:pPr>
        <w:pStyle w:val="List2"/>
        <w:ind w:left="0" w:firstLine="560" w:leftChars="0" w:firstLineChars="200"/>
        <w:rPr>
          <w:rFonts w:ascii="仿宋_GB2312" w:eastAsia="仿宋_GB2312" w:hint="eastAsia"/>
          <w:sz w:val="28"/>
          <w:szCs w:val="28"/>
        </w:rPr>
      </w:pPr>
      <w:r>
        <w:rPr>
          <w:rFonts w:ascii="仿宋_GB2312" w:eastAsia="仿宋_GB2312" w:hint="eastAsia"/>
          <w:sz w:val="28"/>
          <w:szCs w:val="28"/>
        </w:rPr>
        <w:t>本次政府采购项目专门面向中小企业，专门面向中小企业的采购项目无价格扣除。投标人无需在“投标文件编制系统”分项报价表中选择“是否享受价格折扣、折扣率（%）”。</w:t>
      </w:r>
    </w:p>
    <w:p>
      <w:pPr>
        <w:widowControl w:val="0"/>
        <w:numPr>
          <w:ilvl w:val="0"/>
          <w:numId w:val="0"/>
        </w:numPr>
        <w:snapToGrid w:val="0"/>
        <w:spacing w:line="560" w:lineRule="exact"/>
        <w:jc w:val="left"/>
        <w:rPr>
          <w:rFonts w:hint="eastAsia"/>
          <w:b/>
          <w:color w:val="auto"/>
          <w:sz w:val="24"/>
          <w:szCs w:val="24"/>
        </w:rPr>
      </w:pPr>
    </w:p>
    <w:p>
      <w:pPr>
        <w:pageBreakBefore/>
        <w:numPr>
          <w:ilvl w:val="0"/>
          <w:numId w:val="8"/>
        </w:numPr>
        <w:spacing w:line="752" w:lineRule="atLeast"/>
        <w:ind w:left="425" w:hanging="425" w:leftChars="0" w:firstLineChars="0"/>
        <w:jc w:val="center"/>
        <w:outlineLvl w:val="0"/>
        <w:rPr>
          <w:rFonts w:ascii="宋体" w:hAnsi="宋体" w:hint="eastAsia"/>
          <w:b/>
          <w:sz w:val="44"/>
        </w:rPr>
      </w:pPr>
      <w:r>
        <w:rPr>
          <w:rFonts w:ascii="宋体" w:hAnsi="宋体" w:hint="eastAsia"/>
          <w:b/>
          <w:sz w:val="44"/>
        </w:rPr>
        <w:t>供应商资格条件及履约承诺函</w:t>
      </w:r>
    </w:p>
    <w:p>
      <w:pPr>
        <w:tabs>
          <w:tab w:val="left" w:pos="9365"/>
        </w:tabs>
        <w:spacing w:before="57" w:after="57" w:line="586" w:lineRule="atLeast"/>
        <w:ind w:right="85"/>
        <w:jc w:val="left"/>
        <w:textAlignment w:val="top"/>
        <w:rPr>
          <w:rFonts w:ascii="仿宋_GB2312" w:eastAsia="仿宋_GB2312"/>
          <w:sz w:val="28"/>
          <w:szCs w:val="28"/>
        </w:rPr>
      </w:pPr>
      <w:r>
        <w:rPr>
          <w:rFonts w:ascii="仿宋_GB2312" w:eastAsia="仿宋_GB2312" w:hint="eastAsia"/>
          <w:sz w:val="28"/>
          <w:szCs w:val="28"/>
        </w:rPr>
        <w:t>致：</w:t>
      </w:r>
      <w:r>
        <w:rPr>
          <w:rFonts w:ascii="仿宋_GB2312" w:eastAsia="仿宋_GB2312" w:hint="eastAsia"/>
          <w:spacing w:val="11"/>
          <w:sz w:val="28"/>
          <w:szCs w:val="28"/>
          <w:u w:val="single"/>
        </w:rPr>
        <w:t xml:space="preserve">(采购人名称）    </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在采购编号为</w:t>
      </w:r>
      <w:r>
        <w:rPr>
          <w:rFonts w:ascii="仿宋_GB2312" w:eastAsia="仿宋_GB2312" w:hint="eastAsia"/>
          <w:sz w:val="28"/>
          <w:szCs w:val="28"/>
          <w:u w:val="single"/>
          <w:lang w:val="en-US" w:eastAsia="zh-CN"/>
        </w:rPr>
        <w:t xml:space="preserve">              </w:t>
      </w:r>
      <w:r>
        <w:rPr>
          <w:rFonts w:ascii="仿宋_GB2312" w:eastAsia="仿宋_GB2312" w:hint="eastAsia"/>
          <w:sz w:val="28"/>
          <w:szCs w:val="28"/>
          <w:u w:val="single"/>
        </w:rPr>
        <w:t xml:space="preserve"> </w:t>
      </w:r>
      <w:r>
        <w:rPr>
          <w:rFonts w:ascii="仿宋_GB2312" w:eastAsia="仿宋_GB2312" w:hint="eastAsia"/>
          <w:sz w:val="28"/>
          <w:szCs w:val="28"/>
        </w:rPr>
        <w:t>的</w:t>
      </w:r>
      <w:r>
        <w:rPr>
          <w:rFonts w:ascii="仿宋_GB2312" w:eastAsia="仿宋_GB2312" w:hint="eastAsia"/>
          <w:sz w:val="28"/>
          <w:szCs w:val="28"/>
          <w:u w:val="single"/>
        </w:rPr>
        <w:t xml:space="preserve">    （项目名称）  </w:t>
      </w:r>
      <w:r>
        <w:rPr>
          <w:rFonts w:ascii="仿宋_GB2312" w:eastAsia="仿宋_GB2312" w:hint="eastAsia"/>
          <w:sz w:val="28"/>
          <w:szCs w:val="28"/>
        </w:rPr>
        <w:t>采购活动中，我单位严格遵守《中华人民共和国政府采购法》及相关法律法规，坚守公开、公平、公正和诚实信用的原则，依法诚信经营，无条件遵守本次政府采购活动的各项规定。我公司郑重承诺：</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一、我公司具备《中华人民共和国政府采购法》第二十二条第一款规定的六项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二、我公司为本项目所提供的货物或服务未侵犯知识产权。</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三、我公司参与本项目政府采购活动时不存在被有关部门禁止参与政府采购活动且在有效期内的情况。</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四、我公司参与本项目投标，严格遵守政府采购相关法律法规，不造假，不围标、串标、陪标。我公司已清楚，如违反上述要求，响应文件将作无效处理，被列入不良记录名单并在网上曝光，同时将被提请政府采购监督管理部门给予一定年限内禁止参与政府采购活动或其他处罚。</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五、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六、我公司承诺成交后项目不转包，未经采购人同意不进行分包。</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七、我公司保证，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公司承担全部责任。</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八、我公司承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九、我公司承诺单位负责人为同一人或者存在直接控股、管理关系的不同供应商，不参加同一合同项下的政府采购活动。没有为本项目提供整体设计、规范编制或者项目管理、监理、检测等服务。</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十、我公司已详细阅读并完全理解、同意《采购文件》的全部内容，包括修改补充文件、更正公告以及全部参考资料和有关附件；除我公司在《采购文件》规定期间内提出的质疑外，我公司放弃对这方面不明及误解的权力，并严格按采购人确定的技术及商务要求等履行。</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十一、我公司开标前已详细了解采购标的，并按采购人现有条件及要求编制投标报价；我公司的投标报价包括《采购文件》所述报价组成的所有内容、并包括《采购文件》未列明而完成本项目所必须的所有设备、材料、工具、费用等达到交付使用及验收条件的所有一切风险、责任和义务的费用。我公司确认投标报价保证按《采购文件》要求及投标承诺的质量诚信履约。</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十二、我公司保证在《采购文件》要求的时间内按期、保质完成本项目。如我公司成交，将在成交结果公告后，积极、主动的与采购人联系合同签订事宜，合同签订中如有任何的问题，我公司保证及时书面反映情况，否则视为我公司责任、按违约处理。</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十三、除法律规定的不可抗力因素外，我公司成交后以任何理由（包括违背上述承诺的事项）提出不能满足《采购文件》技术、效验期等要求或不能实现投标承诺的或提出变更的，我公司将无条件接受违约处理、并放弃我公司成交资格。我公司知悉违约责任及其处理，并无条件接受：情节严重的，由财政部门列入不良行为记录名单，在一至三年内禁止参加政府采购活动，并予以通报，处以罚金，给采购人及他人造成损失的，承担相应的赔偿责任。</w:t>
      </w:r>
    </w:p>
    <w:p>
      <w:pPr>
        <w:tabs>
          <w:tab w:val="left" w:pos="9365"/>
        </w:tabs>
        <w:spacing w:before="57" w:after="57" w:line="586" w:lineRule="atLeast"/>
        <w:ind w:right="85" w:firstLine="700" w:firstLineChars="250"/>
        <w:jc w:val="left"/>
        <w:textAlignment w:val="top"/>
        <w:rPr>
          <w:rFonts w:ascii="仿宋_GB2312" w:eastAsia="仿宋_GB2312"/>
          <w:sz w:val="28"/>
          <w:szCs w:val="28"/>
        </w:rPr>
      </w:pPr>
      <w:r>
        <w:rPr>
          <w:rFonts w:ascii="仿宋_GB2312" w:eastAsia="仿宋_GB2312" w:hint="eastAsia"/>
          <w:sz w:val="28"/>
          <w:szCs w:val="28"/>
        </w:rPr>
        <w:t>我公司保证上述承诺事项的真实性，如有弄虚作假或其他违法违规行为，愿意承担一切法律责任，并承担因此造成的一切损失。</w:t>
      </w:r>
    </w:p>
    <w:p>
      <w:pPr>
        <w:tabs>
          <w:tab w:val="left" w:pos="9365"/>
        </w:tabs>
        <w:spacing w:before="57" w:after="57" w:line="586" w:lineRule="atLeast"/>
        <w:ind w:right="85"/>
        <w:jc w:val="left"/>
        <w:textAlignment w:val="top"/>
        <w:rPr>
          <w:rFonts w:ascii="仿宋_GB2312" w:eastAsia="仿宋_GB2312"/>
          <w:b/>
          <w:bCs/>
          <w:sz w:val="28"/>
          <w:szCs w:val="28"/>
        </w:rPr>
      </w:pPr>
      <w:r>
        <w:rPr>
          <w:rFonts w:ascii="仿宋_GB2312" w:eastAsia="仿宋_GB2312"/>
          <w:b/>
          <w:bCs/>
          <w:sz w:val="28"/>
          <w:szCs w:val="28"/>
        </w:rPr>
        <w:t> </w:t>
      </w:r>
    </w:p>
    <w:p>
      <w:pPr>
        <w:tabs>
          <w:tab w:val="left" w:pos="9365"/>
        </w:tabs>
        <w:spacing w:before="57" w:after="57" w:line="586" w:lineRule="atLeast"/>
        <w:ind w:right="85" w:firstLine="2912" w:firstLineChars="1040"/>
        <w:jc w:val="left"/>
        <w:textAlignment w:val="top"/>
        <w:rPr>
          <w:rFonts w:ascii="仿宋_GB2312" w:eastAsia="仿宋_GB2312"/>
          <w:b/>
          <w:bCs/>
          <w:sz w:val="28"/>
          <w:szCs w:val="28"/>
        </w:rPr>
      </w:pPr>
      <w:r>
        <w:rPr>
          <w:rFonts w:ascii="仿宋_GB2312" w:eastAsia="仿宋_GB2312" w:hint="eastAsia"/>
          <w:sz w:val="28"/>
          <w:szCs w:val="28"/>
        </w:rPr>
        <w:t>法定代表人（电子签名）：</w:t>
      </w:r>
    </w:p>
    <w:p>
      <w:pPr>
        <w:snapToGrid w:val="0"/>
        <w:spacing w:before="100" w:beforeAutospacing="1" w:after="100" w:afterAutospacing="1" w:line="700" w:lineRule="exact"/>
        <w:ind w:right="641" w:firstLine="2940" w:firstLineChars="1050"/>
        <w:rPr>
          <w:rFonts w:ascii="仿宋_GB2312" w:eastAsia="仿宋_GB2312"/>
          <w:sz w:val="28"/>
          <w:szCs w:val="28"/>
        </w:rPr>
      </w:pPr>
      <w:r>
        <w:rPr>
          <w:rFonts w:ascii="仿宋_GB2312" w:eastAsia="仿宋_GB2312" w:hint="eastAsia"/>
          <w:sz w:val="28"/>
          <w:szCs w:val="28"/>
        </w:rPr>
        <w:t>供应商（电子签章）：</w:t>
      </w:r>
    </w:p>
    <w:p>
      <w:pPr>
        <w:snapToGrid w:val="0"/>
        <w:spacing w:line="560" w:lineRule="atLeast"/>
        <w:rPr>
          <w:rFonts w:ascii="宋体" w:hAnsi="宋体"/>
          <w:b/>
          <w:sz w:val="32"/>
          <w:szCs w:val="32"/>
        </w:rPr>
      </w:pPr>
      <w:r>
        <w:rPr>
          <w:rFonts w:ascii="仿宋_GB2312" w:eastAsia="仿宋_GB2312" w:hint="eastAsia"/>
          <w:sz w:val="28"/>
          <w:szCs w:val="28"/>
        </w:rPr>
        <w:t xml:space="preserve">                     日期：</w:t>
      </w:r>
    </w:p>
    <w:p>
      <w:pPr>
        <w:snapToGrid w:val="0"/>
        <w:spacing w:line="500" w:lineRule="exact"/>
        <w:ind w:right="641"/>
        <w:rPr>
          <w:rFonts w:ascii="仿宋" w:eastAsia="仿宋" w:hAnsi="仿宋"/>
          <w:b/>
          <w:sz w:val="28"/>
          <w:szCs w:val="28"/>
        </w:rPr>
      </w:pPr>
    </w:p>
    <w:p>
      <w:pPr>
        <w:snapToGrid w:val="0"/>
        <w:spacing w:line="500" w:lineRule="exact"/>
        <w:ind w:right="641"/>
        <w:rPr>
          <w:rFonts w:ascii="仿宋" w:eastAsia="仿宋" w:hAnsi="仿宋"/>
          <w:b/>
          <w:sz w:val="28"/>
          <w:szCs w:val="28"/>
        </w:rPr>
      </w:pPr>
    </w:p>
    <w:p>
      <w:pPr>
        <w:snapToGrid w:val="0"/>
        <w:spacing w:line="500" w:lineRule="exact"/>
        <w:ind w:right="641"/>
        <w:rPr>
          <w:rFonts w:ascii="仿宋" w:eastAsia="仿宋" w:hAnsi="仿宋"/>
          <w:b/>
          <w:sz w:val="28"/>
          <w:szCs w:val="28"/>
        </w:rPr>
      </w:pPr>
    </w:p>
    <w:p>
      <w:pPr>
        <w:snapToGrid w:val="0"/>
        <w:spacing w:line="500" w:lineRule="exact"/>
        <w:ind w:right="641"/>
        <w:rPr>
          <w:rFonts w:ascii="宋体" w:hAnsi="宋体"/>
          <w:b/>
          <w:sz w:val="44"/>
        </w:rPr>
      </w:pPr>
      <w:r>
        <w:rPr>
          <w:rFonts w:ascii="仿宋" w:eastAsia="仿宋" w:hAnsi="仿宋" w:hint="eastAsia"/>
          <w:b/>
          <w:sz w:val="28"/>
          <w:szCs w:val="28"/>
        </w:rPr>
        <w:t>备注：依据安阳市财政局文件（安财购〔2021〕20号）要求，供应商在参加本项目投标时，对于《中华人民共和国政府采购法》第二十二条规定的资格条件，供应商可用承诺函的形式进行证明，但必须保证承诺事项的真实性。</w:t>
      </w:r>
    </w:p>
    <w:p>
      <w:pPr>
        <w:pageBreakBefore/>
        <w:numPr>
          <w:ilvl w:val="0"/>
          <w:numId w:val="8"/>
        </w:numPr>
        <w:spacing w:line="752" w:lineRule="atLeast"/>
        <w:ind w:left="425" w:hanging="425" w:leftChars="0" w:firstLineChars="0"/>
        <w:jc w:val="center"/>
        <w:outlineLvl w:val="0"/>
        <w:rPr>
          <w:rFonts w:ascii="宋体" w:hAnsi="宋体" w:hint="eastAsia"/>
          <w:b/>
          <w:sz w:val="44"/>
        </w:rPr>
      </w:pPr>
      <w:r>
        <w:rPr>
          <w:rFonts w:ascii="宋体" w:hAnsi="宋体" w:hint="eastAsia"/>
          <w:b/>
          <w:sz w:val="44"/>
        </w:rPr>
        <w:t>其他资格证明材料</w:t>
      </w:r>
    </w:p>
    <w:p>
      <w:pPr>
        <w:snapToGrid w:val="0"/>
        <w:spacing w:before="240" w:after="240" w:line="540" w:lineRule="exact"/>
        <w:ind w:right="85" w:firstLine="420" w:firstLineChars="150"/>
        <w:jc w:val="left"/>
        <w:textAlignment w:val="top"/>
        <w:rPr>
          <w:rFonts w:ascii="仿宋_GB2312" w:eastAsia="仿宋_GB2312"/>
          <w:sz w:val="28"/>
          <w:szCs w:val="28"/>
        </w:rPr>
      </w:pPr>
      <w:r>
        <w:rPr>
          <w:rFonts w:ascii="仿宋_GB2312" w:eastAsia="仿宋_GB2312" w:hint="eastAsia"/>
          <w:sz w:val="28"/>
          <w:szCs w:val="28"/>
        </w:rPr>
        <w:t>（按采购文件要求提供，落实政府采购政策满足的资格要求证明材料或特定资格要求证明材料或供应商认为有必要提供的其他证明材料，加盖法定代表人（经营者）的电子签名和单位电子签章。）</w:t>
      </w:r>
    </w:p>
    <w:p>
      <w:pPr>
        <w:pageBreakBefore/>
        <w:numPr>
          <w:ilvl w:val="0"/>
          <w:numId w:val="8"/>
        </w:numPr>
        <w:spacing w:line="752" w:lineRule="atLeast"/>
        <w:ind w:left="425" w:hanging="425" w:leftChars="0" w:firstLineChars="0"/>
        <w:jc w:val="center"/>
        <w:outlineLvl w:val="0"/>
        <w:rPr>
          <w:rFonts w:ascii="宋体" w:hAnsi="宋体" w:hint="eastAsia"/>
          <w:b/>
          <w:sz w:val="44"/>
        </w:rPr>
      </w:pPr>
      <w:r>
        <w:rPr>
          <w:rFonts w:ascii="宋体" w:hAnsi="宋体" w:hint="eastAsia"/>
          <w:b/>
          <w:sz w:val="44"/>
          <w:lang w:val="en-US" w:eastAsia="zh-CN"/>
        </w:rPr>
        <w:t>拟投入设备</w:t>
      </w:r>
      <w:r>
        <w:rPr>
          <w:rFonts w:ascii="宋体" w:hAnsi="宋体" w:hint="eastAsia"/>
          <w:b/>
          <w:sz w:val="44"/>
        </w:rPr>
        <w:t>清单及技术参数表</w:t>
      </w:r>
    </w:p>
    <w:p>
      <w:pPr>
        <w:tabs>
          <w:tab w:val="left" w:pos="9365"/>
        </w:tabs>
        <w:snapToGrid w:val="0"/>
        <w:spacing w:line="560" w:lineRule="atLeast"/>
        <w:ind w:right="85"/>
        <w:jc w:val="center"/>
        <w:textAlignment w:val="top"/>
      </w:pPr>
    </w:p>
    <w:p>
      <w:pPr>
        <w:snapToGrid w:val="0"/>
        <w:spacing w:line="560" w:lineRule="atLeast"/>
        <w:jc w:val="left"/>
        <w:rPr>
          <w:rFonts w:ascii="仿宋_GB2312" w:eastAsia="仿宋_GB2312"/>
          <w:sz w:val="28"/>
          <w:szCs w:val="28"/>
          <w:u w:val="single"/>
        </w:rPr>
      </w:pPr>
      <w:r>
        <w:rPr>
          <w:rFonts w:ascii="仿宋_GB2312" w:eastAsia="仿宋_GB2312" w:hint="eastAsia"/>
          <w:sz w:val="28"/>
          <w:szCs w:val="28"/>
        </w:rPr>
        <w:t>供应商名称：</w:t>
      </w:r>
    </w:p>
    <w:p>
      <w:pPr>
        <w:snapToGrid w:val="0"/>
        <w:spacing w:line="560" w:lineRule="atLeast"/>
        <w:jc w:val="left"/>
        <w:rPr>
          <w:rFonts w:ascii="仿宋_GB2312" w:eastAsia="仿宋_GB2312"/>
          <w:sz w:val="28"/>
          <w:szCs w:val="28"/>
          <w:u w:val="single"/>
        </w:rPr>
      </w:pPr>
      <w:r>
        <w:rPr>
          <w:rFonts w:ascii="仿宋_GB2312" w:eastAsia="仿宋_GB2312" w:hint="eastAsia"/>
          <w:sz w:val="28"/>
          <w:szCs w:val="28"/>
        </w:rPr>
        <w:t>项目名称：</w:t>
      </w:r>
    </w:p>
    <w:p>
      <w:pPr>
        <w:spacing w:line="560" w:lineRule="atLeast"/>
        <w:rPr>
          <w:rFonts w:ascii="仿宋_GB2312" w:eastAsia="仿宋_GB2312"/>
          <w:sz w:val="32"/>
          <w:szCs w:val="32"/>
        </w:rPr>
      </w:pPr>
      <w:r>
        <w:rPr>
          <w:rFonts w:ascii="仿宋_GB2312" w:eastAsia="仿宋_GB2312" w:hint="eastAsia"/>
          <w:sz w:val="28"/>
          <w:szCs w:val="28"/>
        </w:rPr>
        <w:t>采购编号：</w:t>
      </w:r>
    </w:p>
    <w:tbl>
      <w:tblPr>
        <w:tblStyle w:val="TableNormal"/>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460"/>
        <w:gridCol w:w="1855"/>
        <w:gridCol w:w="1247"/>
        <w:gridCol w:w="2017"/>
        <w:gridCol w:w="1494"/>
        <w:gridCol w:w="3305"/>
      </w:tblGrid>
      <w:tr>
        <w:tblPrEx>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trHeight w:val="728"/>
          <w:jc w:val="center"/>
        </w:trPr>
        <w:tc>
          <w:tcPr>
            <w:tcW w:w="460" w:type="dxa"/>
            <w:tcBorders>
              <w:top w:val="single" w:sz="8" w:space="0" w:color="000000"/>
              <w:left w:val="single" w:sz="8" w:space="0" w:color="000000"/>
              <w:bottom w:val="single" w:sz="4" w:space="0" w:color="000000"/>
              <w:right w:val="single" w:sz="4" w:space="0" w:color="000000"/>
            </w:tcBorders>
            <w:vAlign w:val="center"/>
          </w:tcPr>
          <w:p>
            <w:pPr>
              <w:spacing w:line="560" w:lineRule="exact"/>
              <w:jc w:val="center"/>
              <w:rPr>
                <w:sz w:val="28"/>
              </w:rPr>
            </w:pPr>
            <w:r>
              <w:rPr>
                <w:rFonts w:hint="eastAsia"/>
              </w:rPr>
              <w:t>序号</w:t>
            </w:r>
          </w:p>
        </w:tc>
        <w:tc>
          <w:tcPr>
            <w:tcW w:w="1855" w:type="dxa"/>
            <w:tcBorders>
              <w:top w:val="single" w:sz="8" w:space="0" w:color="000000"/>
              <w:bottom w:val="single" w:sz="4" w:space="0" w:color="000000"/>
              <w:right w:val="single" w:sz="4" w:space="0" w:color="000000"/>
            </w:tcBorders>
            <w:vAlign w:val="center"/>
          </w:tcPr>
          <w:p>
            <w:pPr>
              <w:spacing w:line="560" w:lineRule="exact"/>
              <w:jc w:val="center"/>
              <w:rPr>
                <w:sz w:val="28"/>
              </w:rPr>
            </w:pPr>
            <w:r>
              <w:rPr>
                <w:rFonts w:hint="eastAsia"/>
                <w:color w:val="auto"/>
              </w:rPr>
              <w:t>设备名称</w:t>
            </w:r>
          </w:p>
        </w:tc>
        <w:tc>
          <w:tcPr>
            <w:tcW w:w="1247" w:type="dxa"/>
            <w:tcBorders>
              <w:top w:val="single" w:sz="8" w:space="0" w:color="000000"/>
              <w:bottom w:val="single" w:sz="4" w:space="0" w:color="000000"/>
            </w:tcBorders>
            <w:vAlign w:val="center"/>
          </w:tcPr>
          <w:p>
            <w:pPr>
              <w:spacing w:line="560" w:lineRule="atLeast"/>
              <w:jc w:val="center"/>
              <w:rPr>
                <w:sz w:val="28"/>
              </w:rPr>
            </w:pPr>
            <w:r>
              <w:t>品牌型号</w:t>
            </w:r>
          </w:p>
        </w:tc>
        <w:tc>
          <w:tcPr>
            <w:tcW w:w="2017" w:type="dxa"/>
            <w:tcBorders>
              <w:top w:val="single" w:sz="8" w:space="0" w:color="000000"/>
              <w:bottom w:val="single" w:sz="4" w:space="0" w:color="000000"/>
              <w:right w:val="single" w:sz="4" w:space="0" w:color="000000"/>
            </w:tcBorders>
            <w:vAlign w:val="center"/>
          </w:tcPr>
          <w:p>
            <w:pPr>
              <w:spacing w:line="560" w:lineRule="atLeast"/>
              <w:jc w:val="center"/>
              <w:rPr>
                <w:rFonts w:eastAsia="宋体" w:hint="default"/>
                <w:sz w:val="28"/>
                <w:lang w:val="en-US" w:eastAsia="zh-CN"/>
              </w:rPr>
            </w:pPr>
            <w:r>
              <w:rPr>
                <w:rFonts w:hint="eastAsia"/>
                <w:lang w:val="en-US" w:eastAsia="zh-CN"/>
              </w:rPr>
              <w:t>技术参数</w:t>
            </w:r>
          </w:p>
        </w:tc>
        <w:tc>
          <w:tcPr>
            <w:tcW w:w="1494" w:type="dxa"/>
            <w:tcBorders>
              <w:top w:val="single" w:sz="8" w:space="0" w:color="000000"/>
              <w:bottom w:val="single" w:sz="4" w:space="0" w:color="000000"/>
              <w:right w:val="single" w:sz="4" w:space="0" w:color="000000"/>
            </w:tcBorders>
            <w:vAlign w:val="center"/>
          </w:tcPr>
          <w:p>
            <w:pPr>
              <w:spacing w:line="560" w:lineRule="atLeast"/>
              <w:jc w:val="center"/>
              <w:rPr>
                <w:rFonts w:eastAsia="宋体" w:hint="default"/>
                <w:sz w:val="28"/>
                <w:lang w:val="en-US" w:eastAsia="zh-CN"/>
              </w:rPr>
            </w:pPr>
            <w:r>
              <w:rPr>
                <w:rFonts w:hint="eastAsia"/>
                <w:lang w:val="en-US" w:eastAsia="zh-CN"/>
              </w:rPr>
              <w:t>单位/数量</w:t>
            </w:r>
          </w:p>
        </w:tc>
        <w:tc>
          <w:tcPr>
            <w:tcW w:w="3305" w:type="dxa"/>
            <w:tcBorders>
              <w:top w:val="single" w:sz="8" w:space="0" w:color="000000"/>
              <w:bottom w:val="single" w:sz="4" w:space="0" w:color="000000"/>
              <w:right w:val="single" w:sz="4" w:space="0" w:color="000000"/>
            </w:tcBorders>
            <w:vAlign w:val="center"/>
          </w:tcPr>
          <w:p>
            <w:pPr>
              <w:spacing w:line="560" w:lineRule="atLeast"/>
              <w:jc w:val="center"/>
              <w:rPr>
                <w:sz w:val="28"/>
              </w:rPr>
            </w:pPr>
            <w:r>
              <w:rPr>
                <w:rFonts w:hint="eastAsia"/>
              </w:rPr>
              <w:t>备注</w:t>
            </w:r>
          </w:p>
        </w:tc>
      </w:tr>
      <w:tr>
        <w:tblPrEx>
          <w:tblW w:w="10378" w:type="dxa"/>
          <w:jc w:val="center"/>
          <w:tblLayout w:type="fixed"/>
          <w:tblCellMar>
            <w:top w:w="0" w:type="dxa"/>
            <w:left w:w="0" w:type="dxa"/>
            <w:bottom w:w="0" w:type="dxa"/>
            <w:right w:w="0" w:type="dxa"/>
          </w:tblCellMar>
        </w:tblPrEx>
        <w:trPr>
          <w:trHeight w:val="649"/>
          <w:jc w:val="center"/>
        </w:trPr>
        <w:tc>
          <w:tcPr>
            <w:tcW w:w="460" w:type="dxa"/>
            <w:tcBorders>
              <w:left w:val="single" w:sz="8" w:space="0" w:color="000000"/>
              <w:bottom w:val="single" w:sz="4" w:space="0" w:color="000000"/>
              <w:right w:val="single" w:sz="4" w:space="0" w:color="000000"/>
            </w:tcBorders>
            <w:vAlign w:val="center"/>
          </w:tcPr>
          <w:p>
            <w:pPr>
              <w:spacing w:line="560" w:lineRule="exact"/>
              <w:jc w:val="center"/>
              <w:rPr>
                <w:sz w:val="28"/>
              </w:rPr>
            </w:pPr>
            <w:r>
              <w:t>1</w:t>
            </w:r>
          </w:p>
        </w:tc>
        <w:tc>
          <w:tcPr>
            <w:tcW w:w="1855" w:type="dxa"/>
            <w:tcBorders>
              <w:bottom w:val="single" w:sz="4" w:space="0" w:color="000000"/>
              <w:right w:val="single" w:sz="4" w:space="0" w:color="000000"/>
            </w:tcBorders>
            <w:vAlign w:val="center"/>
          </w:tcPr>
          <w:p>
            <w:pPr>
              <w:spacing w:line="560" w:lineRule="exact"/>
              <w:jc w:val="center"/>
              <w:rPr>
                <w:sz w:val="28"/>
              </w:rPr>
            </w:pPr>
          </w:p>
        </w:tc>
        <w:tc>
          <w:tcPr>
            <w:tcW w:w="1247" w:type="dxa"/>
            <w:tcBorders>
              <w:bottom w:val="single" w:sz="4" w:space="0" w:color="000000"/>
            </w:tcBorders>
            <w:vAlign w:val="center"/>
          </w:tcPr>
          <w:p>
            <w:pPr>
              <w:spacing w:line="560" w:lineRule="exact"/>
              <w:jc w:val="left"/>
              <w:rPr>
                <w:sz w:val="28"/>
              </w:rPr>
            </w:pPr>
          </w:p>
        </w:tc>
        <w:tc>
          <w:tcPr>
            <w:tcW w:w="2017" w:type="dxa"/>
            <w:tcBorders>
              <w:bottom w:val="single" w:sz="4" w:space="0" w:color="000000"/>
              <w:right w:val="single" w:sz="4" w:space="0" w:color="000000"/>
            </w:tcBorders>
            <w:vAlign w:val="center"/>
          </w:tcPr>
          <w:p>
            <w:pPr>
              <w:spacing w:line="560" w:lineRule="exact"/>
              <w:jc w:val="left"/>
              <w:rPr>
                <w:sz w:val="28"/>
              </w:rPr>
            </w:pPr>
          </w:p>
        </w:tc>
        <w:tc>
          <w:tcPr>
            <w:tcW w:w="1494" w:type="dxa"/>
            <w:tcBorders>
              <w:bottom w:val="single" w:sz="4" w:space="0" w:color="000000"/>
              <w:right w:val="single" w:sz="4" w:space="0" w:color="000000"/>
            </w:tcBorders>
            <w:vAlign w:val="center"/>
          </w:tcPr>
          <w:p>
            <w:pPr>
              <w:spacing w:line="560" w:lineRule="exact"/>
              <w:jc w:val="center"/>
              <w:rPr>
                <w:sz w:val="28"/>
              </w:rPr>
            </w:pPr>
          </w:p>
        </w:tc>
        <w:tc>
          <w:tcPr>
            <w:tcW w:w="3305" w:type="dxa"/>
            <w:vMerge w:val="restart"/>
            <w:tcBorders>
              <w:right w:val="single" w:sz="4" w:space="0" w:color="000000"/>
            </w:tcBorders>
          </w:tcPr>
          <w:p>
            <w:pPr>
              <w:snapToGrid w:val="0"/>
              <w:spacing w:line="240" w:lineRule="auto"/>
              <w:rPr>
                <w:rFonts w:ascii="仿宋_GB2312" w:eastAsia="仿宋_GB2312"/>
                <w:szCs w:val="21"/>
              </w:rPr>
            </w:pPr>
            <w:r>
              <w:rPr>
                <w:rFonts w:ascii="仿宋_GB2312" w:eastAsia="仿宋_GB2312" w:hint="eastAsia"/>
                <w:szCs w:val="21"/>
              </w:rPr>
              <w:t>注：如采购人所采购的设备涉及政府强制采购节能产品，供应商必须在响应文件中提供具有国家确定的认证机构出具的、处于有效期之内的节能产品认证证书证明材料，否则视为无效响应。</w:t>
            </w:r>
          </w:p>
          <w:p>
            <w:pPr>
              <w:spacing w:line="240" w:lineRule="auto"/>
              <w:ind w:firstLine="420" w:firstLineChars="200"/>
              <w:rPr>
                <w:rFonts w:ascii="仿宋_GB2312" w:eastAsia="仿宋_GB2312"/>
                <w:szCs w:val="21"/>
              </w:rPr>
            </w:pPr>
            <w:r>
              <w:rPr>
                <w:rFonts w:ascii="仿宋_GB2312" w:eastAsia="仿宋_GB2312" w:hint="eastAsia"/>
                <w:szCs w:val="21"/>
              </w:rPr>
              <w:t>如采购人所采购的设备不涉及政府强制采购节能产品的，供应商提供的产品中属于节能产品</w:t>
            </w:r>
            <w:r>
              <w:rPr>
                <w:rFonts w:ascii="仿宋_GB2312" w:eastAsia="仿宋_GB2312"/>
                <w:szCs w:val="21"/>
              </w:rPr>
              <w:t>/环境标志产品政府采购品目清单</w:t>
            </w:r>
            <w:r>
              <w:rPr>
                <w:rFonts w:ascii="仿宋_GB2312" w:eastAsia="仿宋_GB2312" w:hint="eastAsia"/>
                <w:szCs w:val="21"/>
              </w:rPr>
              <w:t>中优先采购的，应在响应文件中提供国家确定的认证机构出具的、处于有效期之内的节能产品</w:t>
            </w:r>
            <w:r>
              <w:rPr>
                <w:rFonts w:ascii="仿宋_GB2312" w:eastAsia="仿宋_GB2312"/>
                <w:szCs w:val="21"/>
              </w:rPr>
              <w:t>/</w:t>
            </w:r>
            <w:r>
              <w:rPr>
                <w:rFonts w:ascii="仿宋_GB2312" w:eastAsia="仿宋_GB2312" w:hint="eastAsia"/>
                <w:szCs w:val="21"/>
              </w:rPr>
              <w:t>环境标志产品认证证书复印件，同等条件下，享受节能产品及环境标志产品优先采购政策。</w:t>
            </w:r>
          </w:p>
        </w:tc>
      </w:tr>
      <w:tr>
        <w:tblPrEx>
          <w:tblW w:w="10378" w:type="dxa"/>
          <w:jc w:val="center"/>
          <w:tblLayout w:type="fixed"/>
          <w:tblCellMar>
            <w:top w:w="0" w:type="dxa"/>
            <w:left w:w="0" w:type="dxa"/>
            <w:bottom w:w="0" w:type="dxa"/>
            <w:right w:w="0" w:type="dxa"/>
          </w:tblCellMar>
        </w:tblPrEx>
        <w:trPr>
          <w:trHeight w:val="649"/>
          <w:jc w:val="center"/>
        </w:trPr>
        <w:tc>
          <w:tcPr>
            <w:tcW w:w="460" w:type="dxa"/>
            <w:tcBorders>
              <w:left w:val="single" w:sz="8" w:space="0" w:color="000000"/>
              <w:bottom w:val="single" w:sz="4" w:space="0" w:color="000000"/>
              <w:right w:val="single" w:sz="4" w:space="0" w:color="000000"/>
            </w:tcBorders>
            <w:vAlign w:val="center"/>
          </w:tcPr>
          <w:p>
            <w:pPr>
              <w:spacing w:line="560" w:lineRule="exact"/>
              <w:jc w:val="center"/>
              <w:rPr>
                <w:sz w:val="28"/>
              </w:rPr>
            </w:pPr>
            <w:r>
              <w:t>2</w:t>
            </w:r>
          </w:p>
        </w:tc>
        <w:tc>
          <w:tcPr>
            <w:tcW w:w="1855" w:type="dxa"/>
            <w:tcBorders>
              <w:bottom w:val="single" w:sz="4" w:space="0" w:color="000000"/>
              <w:right w:val="single" w:sz="4" w:space="0" w:color="000000"/>
            </w:tcBorders>
            <w:vAlign w:val="center"/>
          </w:tcPr>
          <w:p>
            <w:pPr>
              <w:spacing w:line="560" w:lineRule="exact"/>
              <w:jc w:val="center"/>
              <w:rPr>
                <w:sz w:val="28"/>
              </w:rPr>
            </w:pPr>
          </w:p>
        </w:tc>
        <w:tc>
          <w:tcPr>
            <w:tcW w:w="1247" w:type="dxa"/>
            <w:tcBorders>
              <w:bottom w:val="single" w:sz="4" w:space="0" w:color="000000"/>
            </w:tcBorders>
            <w:vAlign w:val="center"/>
          </w:tcPr>
          <w:p>
            <w:pPr>
              <w:spacing w:line="560" w:lineRule="exact"/>
              <w:jc w:val="left"/>
              <w:rPr>
                <w:sz w:val="28"/>
              </w:rPr>
            </w:pPr>
          </w:p>
        </w:tc>
        <w:tc>
          <w:tcPr>
            <w:tcW w:w="2017" w:type="dxa"/>
            <w:tcBorders>
              <w:bottom w:val="single" w:sz="4" w:space="0" w:color="000000"/>
              <w:right w:val="single" w:sz="4" w:space="0" w:color="000000"/>
            </w:tcBorders>
            <w:vAlign w:val="center"/>
          </w:tcPr>
          <w:p>
            <w:pPr>
              <w:spacing w:line="560" w:lineRule="exact"/>
              <w:jc w:val="left"/>
              <w:rPr>
                <w:sz w:val="28"/>
              </w:rPr>
            </w:pPr>
          </w:p>
        </w:tc>
        <w:tc>
          <w:tcPr>
            <w:tcW w:w="1494" w:type="dxa"/>
            <w:tcBorders>
              <w:bottom w:val="single" w:sz="4" w:space="0" w:color="000000"/>
              <w:right w:val="single" w:sz="4" w:space="0" w:color="000000"/>
            </w:tcBorders>
            <w:vAlign w:val="center"/>
          </w:tcPr>
          <w:p>
            <w:pPr>
              <w:spacing w:line="560" w:lineRule="exact"/>
              <w:jc w:val="center"/>
              <w:rPr>
                <w:sz w:val="28"/>
              </w:rPr>
            </w:pPr>
          </w:p>
        </w:tc>
        <w:tc>
          <w:tcPr>
            <w:tcW w:w="3305" w:type="dxa"/>
            <w:vMerge/>
            <w:tcBorders>
              <w:right w:val="single" w:sz="4" w:space="0" w:color="000000"/>
            </w:tcBorders>
            <w:vAlign w:val="center"/>
          </w:tcPr>
          <w:p>
            <w:pPr>
              <w:spacing w:line="560" w:lineRule="exact"/>
              <w:jc w:val="center"/>
              <w:rPr>
                <w:sz w:val="28"/>
              </w:rPr>
            </w:pPr>
          </w:p>
        </w:tc>
      </w:tr>
      <w:tr>
        <w:tblPrEx>
          <w:tblW w:w="10378" w:type="dxa"/>
          <w:jc w:val="center"/>
          <w:tblLayout w:type="fixed"/>
          <w:tblCellMar>
            <w:top w:w="0" w:type="dxa"/>
            <w:left w:w="0" w:type="dxa"/>
            <w:bottom w:w="0" w:type="dxa"/>
            <w:right w:w="0" w:type="dxa"/>
          </w:tblCellMar>
        </w:tblPrEx>
        <w:trPr>
          <w:trHeight w:val="649"/>
          <w:jc w:val="center"/>
        </w:trPr>
        <w:tc>
          <w:tcPr>
            <w:tcW w:w="460" w:type="dxa"/>
            <w:tcBorders>
              <w:left w:val="single" w:sz="8" w:space="0" w:color="000000"/>
              <w:bottom w:val="single" w:sz="4" w:space="0" w:color="000000"/>
              <w:right w:val="single" w:sz="4" w:space="0" w:color="000000"/>
            </w:tcBorders>
            <w:vAlign w:val="center"/>
          </w:tcPr>
          <w:p>
            <w:pPr>
              <w:spacing w:line="560" w:lineRule="exact"/>
              <w:jc w:val="center"/>
              <w:rPr>
                <w:sz w:val="28"/>
              </w:rPr>
            </w:pPr>
            <w:r>
              <w:t>3</w:t>
            </w:r>
          </w:p>
        </w:tc>
        <w:tc>
          <w:tcPr>
            <w:tcW w:w="1855" w:type="dxa"/>
            <w:tcBorders>
              <w:bottom w:val="single" w:sz="4" w:space="0" w:color="000000"/>
              <w:right w:val="single" w:sz="4" w:space="0" w:color="000000"/>
            </w:tcBorders>
            <w:vAlign w:val="center"/>
          </w:tcPr>
          <w:p>
            <w:pPr>
              <w:spacing w:line="560" w:lineRule="exact"/>
              <w:jc w:val="center"/>
              <w:rPr>
                <w:sz w:val="28"/>
              </w:rPr>
            </w:pPr>
          </w:p>
        </w:tc>
        <w:tc>
          <w:tcPr>
            <w:tcW w:w="1247" w:type="dxa"/>
            <w:tcBorders>
              <w:bottom w:val="single" w:sz="4" w:space="0" w:color="000000"/>
            </w:tcBorders>
            <w:vAlign w:val="center"/>
          </w:tcPr>
          <w:p>
            <w:pPr>
              <w:spacing w:line="560" w:lineRule="exact"/>
              <w:jc w:val="left"/>
              <w:rPr>
                <w:sz w:val="28"/>
              </w:rPr>
            </w:pPr>
          </w:p>
        </w:tc>
        <w:tc>
          <w:tcPr>
            <w:tcW w:w="2017" w:type="dxa"/>
            <w:tcBorders>
              <w:bottom w:val="single" w:sz="4" w:space="0" w:color="000000"/>
              <w:right w:val="single" w:sz="4" w:space="0" w:color="000000"/>
            </w:tcBorders>
            <w:vAlign w:val="center"/>
          </w:tcPr>
          <w:p>
            <w:pPr>
              <w:spacing w:line="560" w:lineRule="exact"/>
              <w:jc w:val="left"/>
              <w:rPr>
                <w:sz w:val="28"/>
              </w:rPr>
            </w:pPr>
          </w:p>
        </w:tc>
        <w:tc>
          <w:tcPr>
            <w:tcW w:w="1494" w:type="dxa"/>
            <w:tcBorders>
              <w:bottom w:val="single" w:sz="4" w:space="0" w:color="000000"/>
              <w:right w:val="single" w:sz="4" w:space="0" w:color="000000"/>
            </w:tcBorders>
            <w:vAlign w:val="center"/>
          </w:tcPr>
          <w:p>
            <w:pPr>
              <w:spacing w:line="560" w:lineRule="exact"/>
              <w:jc w:val="center"/>
              <w:rPr>
                <w:sz w:val="28"/>
              </w:rPr>
            </w:pPr>
          </w:p>
        </w:tc>
        <w:tc>
          <w:tcPr>
            <w:tcW w:w="3305" w:type="dxa"/>
            <w:vMerge/>
            <w:tcBorders>
              <w:right w:val="single" w:sz="4" w:space="0" w:color="000000"/>
            </w:tcBorders>
            <w:vAlign w:val="center"/>
          </w:tcPr>
          <w:p>
            <w:pPr>
              <w:spacing w:line="560" w:lineRule="exact"/>
              <w:jc w:val="center"/>
              <w:rPr>
                <w:sz w:val="28"/>
              </w:rPr>
            </w:pPr>
          </w:p>
        </w:tc>
      </w:tr>
      <w:tr>
        <w:tblPrEx>
          <w:tblW w:w="10378" w:type="dxa"/>
          <w:jc w:val="center"/>
          <w:tblLayout w:type="fixed"/>
          <w:tblCellMar>
            <w:top w:w="0" w:type="dxa"/>
            <w:left w:w="0" w:type="dxa"/>
            <w:bottom w:w="0" w:type="dxa"/>
            <w:right w:w="0" w:type="dxa"/>
          </w:tblCellMar>
        </w:tblPrEx>
        <w:trPr>
          <w:trHeight w:val="649"/>
          <w:jc w:val="center"/>
        </w:trPr>
        <w:tc>
          <w:tcPr>
            <w:tcW w:w="460" w:type="dxa"/>
            <w:tcBorders>
              <w:left w:val="single" w:sz="8" w:space="0" w:color="000000"/>
              <w:bottom w:val="single" w:sz="4" w:space="0" w:color="000000"/>
              <w:right w:val="single" w:sz="4" w:space="0" w:color="000000"/>
            </w:tcBorders>
            <w:vAlign w:val="center"/>
          </w:tcPr>
          <w:p>
            <w:pPr>
              <w:spacing w:line="560" w:lineRule="exact"/>
              <w:jc w:val="center"/>
              <w:rPr>
                <w:sz w:val="28"/>
              </w:rPr>
            </w:pPr>
            <w:r>
              <w:t>4</w:t>
            </w:r>
          </w:p>
        </w:tc>
        <w:tc>
          <w:tcPr>
            <w:tcW w:w="1855" w:type="dxa"/>
            <w:tcBorders>
              <w:bottom w:val="single" w:sz="4" w:space="0" w:color="000000"/>
              <w:right w:val="single" w:sz="4" w:space="0" w:color="000000"/>
            </w:tcBorders>
            <w:vAlign w:val="center"/>
          </w:tcPr>
          <w:p>
            <w:pPr>
              <w:spacing w:line="560" w:lineRule="exact"/>
              <w:jc w:val="center"/>
              <w:rPr>
                <w:sz w:val="28"/>
              </w:rPr>
            </w:pPr>
          </w:p>
        </w:tc>
        <w:tc>
          <w:tcPr>
            <w:tcW w:w="1247" w:type="dxa"/>
            <w:tcBorders>
              <w:bottom w:val="single" w:sz="4" w:space="0" w:color="000000"/>
            </w:tcBorders>
            <w:vAlign w:val="center"/>
          </w:tcPr>
          <w:p>
            <w:pPr>
              <w:spacing w:line="560" w:lineRule="exact"/>
              <w:jc w:val="center"/>
              <w:rPr>
                <w:sz w:val="28"/>
              </w:rPr>
            </w:pPr>
          </w:p>
        </w:tc>
        <w:tc>
          <w:tcPr>
            <w:tcW w:w="2017" w:type="dxa"/>
            <w:tcBorders>
              <w:bottom w:val="single" w:sz="4" w:space="0" w:color="000000"/>
              <w:right w:val="single" w:sz="4" w:space="0" w:color="000000"/>
            </w:tcBorders>
            <w:vAlign w:val="center"/>
          </w:tcPr>
          <w:p>
            <w:pPr>
              <w:spacing w:line="560" w:lineRule="exact"/>
              <w:jc w:val="center"/>
              <w:rPr>
                <w:sz w:val="28"/>
              </w:rPr>
            </w:pPr>
          </w:p>
        </w:tc>
        <w:tc>
          <w:tcPr>
            <w:tcW w:w="1494" w:type="dxa"/>
            <w:tcBorders>
              <w:bottom w:val="single" w:sz="4" w:space="0" w:color="000000"/>
              <w:right w:val="single" w:sz="4" w:space="0" w:color="000000"/>
            </w:tcBorders>
            <w:vAlign w:val="center"/>
          </w:tcPr>
          <w:p>
            <w:pPr>
              <w:spacing w:line="560" w:lineRule="exact"/>
              <w:jc w:val="center"/>
              <w:rPr>
                <w:sz w:val="28"/>
              </w:rPr>
            </w:pPr>
          </w:p>
        </w:tc>
        <w:tc>
          <w:tcPr>
            <w:tcW w:w="3305" w:type="dxa"/>
            <w:vMerge/>
            <w:tcBorders>
              <w:right w:val="single" w:sz="4" w:space="0" w:color="000000"/>
            </w:tcBorders>
            <w:vAlign w:val="center"/>
          </w:tcPr>
          <w:p>
            <w:pPr>
              <w:spacing w:line="560" w:lineRule="exact"/>
              <w:jc w:val="center"/>
              <w:rPr>
                <w:sz w:val="28"/>
              </w:rPr>
            </w:pPr>
          </w:p>
        </w:tc>
      </w:tr>
      <w:tr>
        <w:tblPrEx>
          <w:tblW w:w="10378" w:type="dxa"/>
          <w:jc w:val="center"/>
          <w:tblLayout w:type="fixed"/>
          <w:tblCellMar>
            <w:top w:w="0" w:type="dxa"/>
            <w:left w:w="0" w:type="dxa"/>
            <w:bottom w:w="0" w:type="dxa"/>
            <w:right w:w="0" w:type="dxa"/>
          </w:tblCellMar>
        </w:tblPrEx>
        <w:trPr>
          <w:trHeight w:val="649"/>
          <w:jc w:val="center"/>
        </w:trPr>
        <w:tc>
          <w:tcPr>
            <w:tcW w:w="460" w:type="dxa"/>
            <w:tcBorders>
              <w:left w:val="single" w:sz="8" w:space="0" w:color="000000"/>
              <w:bottom w:val="single" w:sz="4" w:space="0" w:color="000000"/>
              <w:right w:val="single" w:sz="4" w:space="0" w:color="000000"/>
            </w:tcBorders>
            <w:vAlign w:val="center"/>
          </w:tcPr>
          <w:p>
            <w:pPr>
              <w:spacing w:line="560" w:lineRule="exact"/>
              <w:jc w:val="center"/>
              <w:rPr>
                <w:sz w:val="28"/>
              </w:rPr>
            </w:pPr>
            <w:r>
              <w:t>5</w:t>
            </w:r>
          </w:p>
        </w:tc>
        <w:tc>
          <w:tcPr>
            <w:tcW w:w="1855" w:type="dxa"/>
            <w:tcBorders>
              <w:bottom w:val="single" w:sz="4" w:space="0" w:color="000000"/>
              <w:right w:val="single" w:sz="4" w:space="0" w:color="000000"/>
            </w:tcBorders>
            <w:vAlign w:val="center"/>
          </w:tcPr>
          <w:p>
            <w:pPr>
              <w:spacing w:line="560" w:lineRule="exact"/>
              <w:jc w:val="center"/>
              <w:rPr>
                <w:sz w:val="28"/>
              </w:rPr>
            </w:pPr>
          </w:p>
        </w:tc>
        <w:tc>
          <w:tcPr>
            <w:tcW w:w="1247" w:type="dxa"/>
            <w:tcBorders>
              <w:bottom w:val="single" w:sz="4" w:space="0" w:color="000000"/>
            </w:tcBorders>
            <w:vAlign w:val="center"/>
          </w:tcPr>
          <w:p>
            <w:pPr>
              <w:spacing w:line="560" w:lineRule="exact"/>
              <w:jc w:val="center"/>
              <w:rPr>
                <w:sz w:val="28"/>
              </w:rPr>
            </w:pPr>
          </w:p>
        </w:tc>
        <w:tc>
          <w:tcPr>
            <w:tcW w:w="2017" w:type="dxa"/>
            <w:tcBorders>
              <w:bottom w:val="single" w:sz="4" w:space="0" w:color="000000"/>
              <w:right w:val="single" w:sz="4" w:space="0" w:color="000000"/>
            </w:tcBorders>
            <w:vAlign w:val="center"/>
          </w:tcPr>
          <w:p>
            <w:pPr>
              <w:spacing w:line="560" w:lineRule="exact"/>
              <w:jc w:val="center"/>
              <w:rPr>
                <w:sz w:val="28"/>
              </w:rPr>
            </w:pPr>
          </w:p>
        </w:tc>
        <w:tc>
          <w:tcPr>
            <w:tcW w:w="1494" w:type="dxa"/>
            <w:tcBorders>
              <w:bottom w:val="single" w:sz="4" w:space="0" w:color="000000"/>
              <w:right w:val="single" w:sz="4" w:space="0" w:color="000000"/>
            </w:tcBorders>
            <w:vAlign w:val="center"/>
          </w:tcPr>
          <w:p>
            <w:pPr>
              <w:spacing w:line="560" w:lineRule="exact"/>
              <w:jc w:val="center"/>
              <w:rPr>
                <w:sz w:val="28"/>
              </w:rPr>
            </w:pPr>
          </w:p>
        </w:tc>
        <w:tc>
          <w:tcPr>
            <w:tcW w:w="3305" w:type="dxa"/>
            <w:vMerge/>
            <w:tcBorders>
              <w:right w:val="single" w:sz="4" w:space="0" w:color="000000"/>
            </w:tcBorders>
            <w:vAlign w:val="center"/>
          </w:tcPr>
          <w:p>
            <w:pPr>
              <w:spacing w:line="560" w:lineRule="exact"/>
              <w:jc w:val="center"/>
              <w:rPr>
                <w:sz w:val="28"/>
              </w:rPr>
            </w:pPr>
          </w:p>
        </w:tc>
      </w:tr>
      <w:tr>
        <w:tblPrEx>
          <w:tblW w:w="10378" w:type="dxa"/>
          <w:jc w:val="center"/>
          <w:tblLayout w:type="fixed"/>
          <w:tblCellMar>
            <w:top w:w="0" w:type="dxa"/>
            <w:left w:w="0" w:type="dxa"/>
            <w:bottom w:w="0" w:type="dxa"/>
            <w:right w:w="0" w:type="dxa"/>
          </w:tblCellMar>
        </w:tblPrEx>
        <w:trPr>
          <w:trHeight w:val="649"/>
          <w:jc w:val="center"/>
        </w:trPr>
        <w:tc>
          <w:tcPr>
            <w:tcW w:w="460" w:type="dxa"/>
            <w:tcBorders>
              <w:left w:val="single" w:sz="8" w:space="0" w:color="000000"/>
              <w:bottom w:val="single" w:sz="4" w:space="0" w:color="000000"/>
              <w:right w:val="single" w:sz="4" w:space="0" w:color="000000"/>
            </w:tcBorders>
            <w:vAlign w:val="center"/>
          </w:tcPr>
          <w:p>
            <w:pPr>
              <w:spacing w:line="560" w:lineRule="exact"/>
              <w:jc w:val="center"/>
              <w:rPr>
                <w:sz w:val="28"/>
              </w:rPr>
            </w:pPr>
            <w:r>
              <w:t>6</w:t>
            </w:r>
          </w:p>
        </w:tc>
        <w:tc>
          <w:tcPr>
            <w:tcW w:w="1855" w:type="dxa"/>
            <w:tcBorders>
              <w:bottom w:val="single" w:sz="4" w:space="0" w:color="000000"/>
              <w:right w:val="single" w:sz="4" w:space="0" w:color="000000"/>
            </w:tcBorders>
            <w:vAlign w:val="center"/>
          </w:tcPr>
          <w:p>
            <w:pPr>
              <w:spacing w:line="560" w:lineRule="exact"/>
              <w:jc w:val="center"/>
              <w:rPr>
                <w:sz w:val="28"/>
              </w:rPr>
            </w:pPr>
          </w:p>
        </w:tc>
        <w:tc>
          <w:tcPr>
            <w:tcW w:w="1247" w:type="dxa"/>
            <w:tcBorders>
              <w:bottom w:val="single" w:sz="4" w:space="0" w:color="000000"/>
            </w:tcBorders>
            <w:vAlign w:val="center"/>
          </w:tcPr>
          <w:p>
            <w:pPr>
              <w:spacing w:line="560" w:lineRule="exact"/>
              <w:jc w:val="center"/>
              <w:rPr>
                <w:sz w:val="28"/>
              </w:rPr>
            </w:pPr>
          </w:p>
        </w:tc>
        <w:tc>
          <w:tcPr>
            <w:tcW w:w="2017" w:type="dxa"/>
            <w:tcBorders>
              <w:bottom w:val="single" w:sz="4" w:space="0" w:color="000000"/>
              <w:right w:val="single" w:sz="4" w:space="0" w:color="000000"/>
            </w:tcBorders>
            <w:vAlign w:val="center"/>
          </w:tcPr>
          <w:p>
            <w:pPr>
              <w:spacing w:line="560" w:lineRule="exact"/>
              <w:jc w:val="center"/>
              <w:rPr>
                <w:sz w:val="28"/>
              </w:rPr>
            </w:pPr>
          </w:p>
        </w:tc>
        <w:tc>
          <w:tcPr>
            <w:tcW w:w="1494" w:type="dxa"/>
            <w:tcBorders>
              <w:bottom w:val="single" w:sz="4" w:space="0" w:color="000000"/>
              <w:right w:val="single" w:sz="4" w:space="0" w:color="000000"/>
            </w:tcBorders>
            <w:vAlign w:val="center"/>
          </w:tcPr>
          <w:p>
            <w:pPr>
              <w:spacing w:line="560" w:lineRule="exact"/>
              <w:jc w:val="center"/>
              <w:rPr>
                <w:sz w:val="28"/>
              </w:rPr>
            </w:pPr>
          </w:p>
        </w:tc>
        <w:tc>
          <w:tcPr>
            <w:tcW w:w="3305" w:type="dxa"/>
            <w:vMerge/>
            <w:tcBorders>
              <w:right w:val="single" w:sz="4" w:space="0" w:color="000000"/>
            </w:tcBorders>
            <w:vAlign w:val="center"/>
          </w:tcPr>
          <w:p>
            <w:pPr>
              <w:spacing w:line="560" w:lineRule="exact"/>
              <w:jc w:val="center"/>
              <w:rPr>
                <w:sz w:val="28"/>
              </w:rPr>
            </w:pPr>
          </w:p>
        </w:tc>
      </w:tr>
      <w:tr>
        <w:tblPrEx>
          <w:tblW w:w="10378" w:type="dxa"/>
          <w:jc w:val="center"/>
          <w:tblLayout w:type="fixed"/>
          <w:tblCellMar>
            <w:top w:w="0" w:type="dxa"/>
            <w:left w:w="0" w:type="dxa"/>
            <w:bottom w:w="0" w:type="dxa"/>
            <w:right w:w="0" w:type="dxa"/>
          </w:tblCellMar>
        </w:tblPrEx>
        <w:trPr>
          <w:trHeight w:val="3423"/>
          <w:jc w:val="center"/>
        </w:trPr>
        <w:tc>
          <w:tcPr>
            <w:tcW w:w="460" w:type="dxa"/>
            <w:tcBorders>
              <w:left w:val="single" w:sz="8" w:space="0" w:color="000000"/>
              <w:bottom w:val="single" w:sz="4" w:space="0" w:color="000000"/>
              <w:right w:val="single" w:sz="4" w:space="0" w:color="000000"/>
            </w:tcBorders>
            <w:vAlign w:val="center"/>
          </w:tcPr>
          <w:p>
            <w:pPr>
              <w:spacing w:line="560" w:lineRule="exact"/>
              <w:jc w:val="center"/>
              <w:rPr>
                <w:sz w:val="28"/>
              </w:rPr>
            </w:pPr>
            <w:r>
              <w:t>......</w:t>
            </w:r>
          </w:p>
        </w:tc>
        <w:tc>
          <w:tcPr>
            <w:tcW w:w="1855" w:type="dxa"/>
            <w:tcBorders>
              <w:bottom w:val="single" w:sz="4" w:space="0" w:color="000000"/>
              <w:right w:val="single" w:sz="4" w:space="0" w:color="000000"/>
            </w:tcBorders>
            <w:vAlign w:val="center"/>
          </w:tcPr>
          <w:p>
            <w:pPr>
              <w:spacing w:line="560" w:lineRule="exact"/>
              <w:jc w:val="center"/>
              <w:rPr>
                <w:sz w:val="28"/>
              </w:rPr>
            </w:pPr>
          </w:p>
        </w:tc>
        <w:tc>
          <w:tcPr>
            <w:tcW w:w="1247" w:type="dxa"/>
            <w:tcBorders>
              <w:bottom w:val="single" w:sz="4" w:space="0" w:color="000000"/>
            </w:tcBorders>
            <w:vAlign w:val="center"/>
          </w:tcPr>
          <w:p>
            <w:pPr>
              <w:spacing w:line="560" w:lineRule="exact"/>
              <w:jc w:val="center"/>
              <w:rPr>
                <w:sz w:val="28"/>
              </w:rPr>
            </w:pPr>
          </w:p>
        </w:tc>
        <w:tc>
          <w:tcPr>
            <w:tcW w:w="2017" w:type="dxa"/>
            <w:tcBorders>
              <w:bottom w:val="single" w:sz="4" w:space="0" w:color="000000"/>
              <w:right w:val="single" w:sz="4" w:space="0" w:color="000000"/>
            </w:tcBorders>
            <w:vAlign w:val="center"/>
          </w:tcPr>
          <w:p>
            <w:pPr>
              <w:spacing w:line="560" w:lineRule="exact"/>
              <w:jc w:val="center"/>
              <w:rPr>
                <w:sz w:val="28"/>
              </w:rPr>
            </w:pPr>
          </w:p>
        </w:tc>
        <w:tc>
          <w:tcPr>
            <w:tcW w:w="1494" w:type="dxa"/>
            <w:tcBorders>
              <w:bottom w:val="single" w:sz="4" w:space="0" w:color="000000"/>
              <w:right w:val="single" w:sz="4" w:space="0" w:color="000000"/>
            </w:tcBorders>
            <w:vAlign w:val="center"/>
          </w:tcPr>
          <w:p>
            <w:pPr>
              <w:spacing w:line="560" w:lineRule="exact"/>
              <w:jc w:val="center"/>
              <w:rPr>
                <w:sz w:val="28"/>
              </w:rPr>
            </w:pPr>
          </w:p>
        </w:tc>
        <w:tc>
          <w:tcPr>
            <w:tcW w:w="3305" w:type="dxa"/>
            <w:vMerge/>
            <w:tcBorders>
              <w:bottom w:val="single" w:sz="4" w:space="0" w:color="000000"/>
              <w:right w:val="single" w:sz="4" w:space="0" w:color="000000"/>
            </w:tcBorders>
            <w:vAlign w:val="center"/>
          </w:tcPr>
          <w:p>
            <w:pPr>
              <w:spacing w:line="560" w:lineRule="exact"/>
              <w:jc w:val="center"/>
              <w:rPr>
                <w:sz w:val="28"/>
              </w:rPr>
            </w:pPr>
          </w:p>
        </w:tc>
      </w:tr>
    </w:tbl>
    <w:p>
      <w:pPr>
        <w:snapToGrid w:val="0"/>
        <w:spacing w:line="700" w:lineRule="exact"/>
        <w:ind w:right="641"/>
        <w:rPr>
          <w:rFonts w:ascii="仿宋_GB2312" w:eastAsia="仿宋_GB2312"/>
          <w:sz w:val="22"/>
          <w:szCs w:val="22"/>
        </w:rPr>
      </w:pPr>
      <w:r>
        <w:rPr>
          <w:rFonts w:ascii="仿宋_GB2312" w:eastAsia="仿宋_GB2312" w:hint="eastAsia"/>
          <w:sz w:val="22"/>
          <w:szCs w:val="22"/>
        </w:rPr>
        <w:t>可自行增加行。</w:t>
      </w:r>
    </w:p>
    <w:p>
      <w:pPr>
        <w:snapToGrid w:val="0"/>
        <w:spacing w:line="700" w:lineRule="exact"/>
        <w:ind w:right="641"/>
        <w:rPr>
          <w:rFonts w:ascii="仿宋_GB2312" w:eastAsia="仿宋_GB2312" w:hint="eastAsia"/>
          <w:sz w:val="28"/>
          <w:szCs w:val="28"/>
        </w:rPr>
      </w:pPr>
      <w:r>
        <w:rPr>
          <w:rFonts w:ascii="仿宋_GB2312" w:eastAsia="仿宋_GB2312" w:hint="eastAsia"/>
          <w:sz w:val="28"/>
          <w:szCs w:val="28"/>
        </w:rPr>
        <w:t xml:space="preserve">法定代表人（电子签名）：        </w:t>
      </w:r>
    </w:p>
    <w:p>
      <w:pPr>
        <w:snapToGrid w:val="0"/>
        <w:spacing w:line="700" w:lineRule="exact"/>
        <w:ind w:right="641"/>
        <w:rPr>
          <w:rFonts w:ascii="仿宋_GB2312" w:eastAsia="仿宋_GB2312"/>
          <w:sz w:val="28"/>
          <w:szCs w:val="28"/>
        </w:rPr>
      </w:pPr>
      <w:r>
        <w:rPr>
          <w:rFonts w:ascii="仿宋_GB2312" w:eastAsia="仿宋_GB2312" w:hint="eastAsia"/>
          <w:sz w:val="28"/>
          <w:szCs w:val="28"/>
        </w:rPr>
        <w:t>供应商（电子签章）：</w:t>
      </w:r>
    </w:p>
    <w:p>
      <w:pPr>
        <w:snapToGrid w:val="0"/>
        <w:spacing w:line="560" w:lineRule="atLeast"/>
        <w:ind w:right="1600"/>
        <w:jc w:val="both"/>
        <w:textAlignment w:val="top"/>
        <w:rPr>
          <w:sz w:val="28"/>
          <w:szCs w:val="28"/>
        </w:rPr>
      </w:pPr>
      <w:r>
        <w:rPr>
          <w:rFonts w:ascii="仿宋_GB2312" w:eastAsia="仿宋_GB2312" w:hint="eastAsia"/>
          <w:sz w:val="28"/>
          <w:szCs w:val="28"/>
        </w:rPr>
        <w:t xml:space="preserve"> 日期：</w:t>
      </w:r>
    </w:p>
    <w:p>
      <w:pPr>
        <w:pageBreakBefore/>
        <w:numPr>
          <w:ilvl w:val="0"/>
          <w:numId w:val="8"/>
        </w:numPr>
        <w:spacing w:line="752" w:lineRule="atLeast"/>
        <w:ind w:left="425" w:hanging="425" w:leftChars="0" w:firstLineChars="0"/>
        <w:jc w:val="center"/>
        <w:outlineLvl w:val="0"/>
        <w:rPr>
          <w:rFonts w:ascii="宋体" w:hAnsi="宋体" w:hint="eastAsia"/>
          <w:b/>
          <w:sz w:val="44"/>
          <w:lang w:val="en-US" w:eastAsia="zh-CN"/>
        </w:rPr>
      </w:pPr>
      <w:r>
        <w:rPr>
          <w:rFonts w:ascii="宋体" w:hAnsi="宋体" w:hint="eastAsia"/>
          <w:b/>
          <w:sz w:val="44"/>
          <w:lang w:val="en-US" w:eastAsia="zh-CN"/>
        </w:rPr>
        <w:t>偏差表</w:t>
      </w:r>
    </w:p>
    <w:p>
      <w:pPr>
        <w:snapToGrid w:val="0"/>
        <w:spacing w:line="560" w:lineRule="atLeast"/>
        <w:jc w:val="left"/>
        <w:rPr>
          <w:rFonts w:ascii="仿宋_GB2312" w:eastAsia="仿宋_GB2312"/>
          <w:sz w:val="28"/>
          <w:szCs w:val="28"/>
          <w:u w:val="single"/>
        </w:rPr>
      </w:pPr>
      <w:r>
        <w:rPr>
          <w:rFonts w:ascii="仿宋_GB2312" w:eastAsia="仿宋_GB2312" w:hint="eastAsia"/>
          <w:sz w:val="28"/>
          <w:szCs w:val="28"/>
        </w:rPr>
        <w:t>供应商名称：</w:t>
      </w:r>
    </w:p>
    <w:p>
      <w:pPr>
        <w:snapToGrid w:val="0"/>
        <w:spacing w:line="560" w:lineRule="atLeast"/>
        <w:jc w:val="left"/>
        <w:rPr>
          <w:rFonts w:ascii="仿宋_GB2312" w:eastAsia="仿宋_GB2312"/>
          <w:sz w:val="28"/>
          <w:szCs w:val="28"/>
          <w:u w:val="single"/>
        </w:rPr>
      </w:pPr>
      <w:r>
        <w:rPr>
          <w:rFonts w:ascii="仿宋_GB2312" w:eastAsia="仿宋_GB2312" w:hint="eastAsia"/>
          <w:sz w:val="28"/>
          <w:szCs w:val="28"/>
        </w:rPr>
        <w:t>项目名称：</w:t>
      </w:r>
    </w:p>
    <w:p>
      <w:pPr>
        <w:tabs>
          <w:tab w:val="left" w:pos="9365"/>
        </w:tabs>
        <w:snapToGrid w:val="0"/>
        <w:spacing w:after="56" w:line="560" w:lineRule="atLeast"/>
        <w:jc w:val="left"/>
        <w:textAlignment w:val="top"/>
        <w:rPr>
          <w:rFonts w:ascii="仿宋_GB2312" w:eastAsia="仿宋_GB2312"/>
          <w:sz w:val="32"/>
          <w:szCs w:val="32"/>
        </w:rPr>
      </w:pPr>
      <w:r>
        <w:rPr>
          <w:rFonts w:ascii="仿宋_GB2312" w:eastAsia="仿宋_GB2312" w:hint="eastAsia"/>
          <w:sz w:val="28"/>
          <w:szCs w:val="28"/>
        </w:rPr>
        <w:t>采购编号：</w:t>
      </w:r>
    </w:p>
    <w:tbl>
      <w:tblPr>
        <w:tblStyle w:val="TableNormal"/>
        <w:tblW w:w="0" w:type="auto"/>
        <w:tblInd w:w="-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0" w:type="dxa"/>
          <w:left w:w="0" w:type="dxa"/>
          <w:bottom w:w="0" w:type="dxa"/>
          <w:right w:w="0" w:type="dxa"/>
        </w:tblCellMar>
      </w:tblPr>
      <w:tblGrid>
        <w:gridCol w:w="448"/>
        <w:gridCol w:w="2984"/>
        <w:gridCol w:w="3172"/>
        <w:gridCol w:w="2599"/>
      </w:tblGrid>
      <w:tr>
        <w:tblPrEx>
          <w:tblW w:w="0" w:type="auto"/>
          <w:tblInd w:w="-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0" w:type="dxa"/>
            <w:left w:w="0" w:type="dxa"/>
            <w:bottom w:w="0" w:type="dxa"/>
            <w:right w:w="0" w:type="dxa"/>
          </w:tblCellMar>
        </w:tblPrEx>
        <w:trPr>
          <w:trHeight w:val="840"/>
        </w:trPr>
        <w:tc>
          <w:tcPr>
            <w:tcW w:w="448" w:type="dxa"/>
            <w:vAlign w:val="center"/>
          </w:tcPr>
          <w:p>
            <w:pPr>
              <w:spacing w:line="560" w:lineRule="atLeast"/>
              <w:jc w:val="center"/>
              <w:rPr>
                <w:sz w:val="28"/>
              </w:rPr>
            </w:pPr>
            <w:r>
              <w:t>序号</w:t>
            </w:r>
          </w:p>
        </w:tc>
        <w:tc>
          <w:tcPr>
            <w:tcW w:w="2984" w:type="dxa"/>
            <w:vAlign w:val="center"/>
          </w:tcPr>
          <w:p>
            <w:pPr>
              <w:spacing w:line="560" w:lineRule="atLeast"/>
              <w:jc w:val="center"/>
              <w:rPr>
                <w:sz w:val="28"/>
              </w:rPr>
            </w:pPr>
            <w:r>
              <w:rPr>
                <w:rFonts w:hint="eastAsia"/>
                <w:lang w:val="en-US" w:eastAsia="zh-CN"/>
              </w:rPr>
              <w:t>谈判</w:t>
            </w:r>
            <w:r>
              <w:t>文件要求条款</w:t>
            </w:r>
          </w:p>
        </w:tc>
        <w:tc>
          <w:tcPr>
            <w:tcW w:w="3172" w:type="dxa"/>
            <w:vAlign w:val="center"/>
          </w:tcPr>
          <w:p>
            <w:pPr>
              <w:spacing w:line="560" w:lineRule="atLeast"/>
              <w:jc w:val="center"/>
              <w:rPr>
                <w:sz w:val="28"/>
              </w:rPr>
            </w:pPr>
            <w:r>
              <w:t>响应文件条款</w:t>
            </w:r>
          </w:p>
        </w:tc>
        <w:tc>
          <w:tcPr>
            <w:tcW w:w="2599" w:type="dxa"/>
            <w:vAlign w:val="center"/>
          </w:tcPr>
          <w:p>
            <w:pPr>
              <w:spacing w:line="560" w:lineRule="atLeast"/>
              <w:jc w:val="center"/>
              <w:rPr>
                <w:sz w:val="28"/>
              </w:rPr>
            </w:pPr>
            <w:r>
              <w:t>偏差</w:t>
            </w:r>
          </w:p>
        </w:tc>
      </w:tr>
      <w:tr>
        <w:tblPrEx>
          <w:tblW w:w="0" w:type="auto"/>
          <w:tblInd w:w="-97" w:type="dxa"/>
          <w:tblLayout w:type="fixed"/>
          <w:tblCellMar>
            <w:top w:w="0" w:type="dxa"/>
            <w:left w:w="0" w:type="dxa"/>
            <w:bottom w:w="0" w:type="dxa"/>
            <w:right w:w="0" w:type="dxa"/>
          </w:tblCellMar>
        </w:tblPrEx>
        <w:trPr>
          <w:trHeight w:val="673"/>
        </w:trPr>
        <w:tc>
          <w:tcPr>
            <w:tcW w:w="448" w:type="dxa"/>
            <w:vAlign w:val="center"/>
          </w:tcPr>
          <w:p>
            <w:pPr>
              <w:spacing w:line="560" w:lineRule="atLeast"/>
              <w:jc w:val="center"/>
              <w:rPr>
                <w:sz w:val="28"/>
              </w:rPr>
            </w:pPr>
            <w:r>
              <w:t>1</w:t>
            </w:r>
          </w:p>
        </w:tc>
        <w:tc>
          <w:tcPr>
            <w:tcW w:w="2984" w:type="dxa"/>
            <w:vAlign w:val="center"/>
          </w:tcPr>
          <w:p>
            <w:pPr>
              <w:spacing w:line="560" w:lineRule="atLeast"/>
              <w:jc w:val="cente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58"/>
        </w:trPr>
        <w:tc>
          <w:tcPr>
            <w:tcW w:w="448" w:type="dxa"/>
            <w:vAlign w:val="center"/>
          </w:tcPr>
          <w:p>
            <w:pPr>
              <w:spacing w:line="560" w:lineRule="atLeast"/>
              <w:jc w:val="center"/>
              <w:rPr>
                <w:sz w:val="28"/>
              </w:rPr>
            </w:pPr>
            <w:r>
              <w:t>2</w:t>
            </w:r>
          </w:p>
        </w:tc>
        <w:tc>
          <w:tcPr>
            <w:tcW w:w="2984" w:type="dxa"/>
            <w:vAlign w:val="center"/>
          </w:tcPr>
          <w:p>
            <w:pPr>
              <w:spacing w:line="560" w:lineRule="atLeast"/>
              <w:jc w:val="cente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58"/>
        </w:trPr>
        <w:tc>
          <w:tcPr>
            <w:tcW w:w="448" w:type="dxa"/>
            <w:vAlign w:val="center"/>
          </w:tcPr>
          <w:p>
            <w:pPr>
              <w:spacing w:line="560" w:lineRule="atLeast"/>
              <w:jc w:val="center"/>
              <w:rPr>
                <w:sz w:val="28"/>
              </w:rPr>
            </w:pPr>
            <w:r>
              <w:t>3</w:t>
            </w:r>
          </w:p>
        </w:tc>
        <w:tc>
          <w:tcPr>
            <w:tcW w:w="2984" w:type="dxa"/>
            <w:vAlign w:val="center"/>
          </w:tcPr>
          <w:p>
            <w:pPr>
              <w:spacing w:line="560" w:lineRule="atLeast"/>
              <w:jc w:val="cente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58"/>
        </w:trPr>
        <w:tc>
          <w:tcPr>
            <w:tcW w:w="448" w:type="dxa"/>
            <w:vAlign w:val="center"/>
          </w:tcPr>
          <w:p>
            <w:pPr>
              <w:spacing w:line="560" w:lineRule="atLeast"/>
              <w:jc w:val="center"/>
              <w:rPr>
                <w:sz w:val="28"/>
              </w:rPr>
            </w:pPr>
            <w:r>
              <w:t>4</w:t>
            </w:r>
          </w:p>
        </w:tc>
        <w:tc>
          <w:tcPr>
            <w:tcW w:w="2984" w:type="dxa"/>
            <w:vAlign w:val="center"/>
          </w:tcPr>
          <w:p>
            <w:pPr>
              <w:spacing w:line="560" w:lineRule="atLeast"/>
              <w:jc w:val="cente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709"/>
        </w:trPr>
        <w:tc>
          <w:tcPr>
            <w:tcW w:w="448" w:type="dxa"/>
            <w:vAlign w:val="center"/>
          </w:tcPr>
          <w:p>
            <w:pPr>
              <w:spacing w:line="560" w:lineRule="atLeast"/>
              <w:jc w:val="center"/>
              <w:rPr>
                <w:sz w:val="28"/>
              </w:rPr>
            </w:pPr>
            <w:r>
              <w:t>5</w:t>
            </w:r>
          </w:p>
        </w:tc>
        <w:tc>
          <w:tcPr>
            <w:tcW w:w="2984" w:type="dxa"/>
            <w:vAlign w:val="center"/>
          </w:tcPr>
          <w:p>
            <w:pPr>
              <w:spacing w:line="560" w:lineRule="atLeast"/>
              <w:jc w:val="center"/>
              <w:rPr>
                <w:sz w:val="28"/>
              </w:rP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75"/>
        </w:trPr>
        <w:tc>
          <w:tcPr>
            <w:tcW w:w="448" w:type="dxa"/>
            <w:vAlign w:val="center"/>
          </w:tcPr>
          <w:p>
            <w:pPr>
              <w:spacing w:line="560" w:lineRule="atLeast"/>
              <w:jc w:val="center"/>
              <w:rPr>
                <w:sz w:val="28"/>
              </w:rPr>
            </w:pPr>
            <w:r>
              <w:t>6</w:t>
            </w:r>
          </w:p>
        </w:tc>
        <w:tc>
          <w:tcPr>
            <w:tcW w:w="2984" w:type="dxa"/>
            <w:vAlign w:val="center"/>
          </w:tcPr>
          <w:p>
            <w:pPr>
              <w:spacing w:line="560" w:lineRule="atLeast"/>
              <w:jc w:val="center"/>
              <w:rPr>
                <w:sz w:val="28"/>
              </w:rP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92"/>
        </w:trPr>
        <w:tc>
          <w:tcPr>
            <w:tcW w:w="448" w:type="dxa"/>
            <w:vAlign w:val="center"/>
          </w:tcPr>
          <w:p>
            <w:pPr>
              <w:spacing w:line="560" w:lineRule="atLeast"/>
              <w:jc w:val="center"/>
              <w:rPr>
                <w:sz w:val="28"/>
              </w:rPr>
            </w:pPr>
            <w:r>
              <w:t>7</w:t>
            </w:r>
          </w:p>
        </w:tc>
        <w:tc>
          <w:tcPr>
            <w:tcW w:w="2984" w:type="dxa"/>
            <w:vAlign w:val="center"/>
          </w:tcPr>
          <w:p>
            <w:pPr>
              <w:spacing w:line="560" w:lineRule="atLeast"/>
              <w:jc w:val="center"/>
              <w:rPr>
                <w:sz w:val="28"/>
              </w:rP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92"/>
        </w:trPr>
        <w:tc>
          <w:tcPr>
            <w:tcW w:w="448" w:type="dxa"/>
            <w:vAlign w:val="center"/>
          </w:tcPr>
          <w:p>
            <w:pPr>
              <w:spacing w:line="560" w:lineRule="atLeast"/>
              <w:jc w:val="center"/>
              <w:rPr>
                <w:sz w:val="28"/>
              </w:rPr>
            </w:pPr>
            <w:r>
              <w:t>8</w:t>
            </w:r>
          </w:p>
        </w:tc>
        <w:tc>
          <w:tcPr>
            <w:tcW w:w="2984" w:type="dxa"/>
            <w:vAlign w:val="center"/>
          </w:tcPr>
          <w:p>
            <w:pPr>
              <w:spacing w:line="560" w:lineRule="atLeast"/>
              <w:jc w:val="center"/>
              <w:rPr>
                <w:sz w:val="28"/>
              </w:rP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69"/>
        </w:trPr>
        <w:tc>
          <w:tcPr>
            <w:tcW w:w="448" w:type="dxa"/>
            <w:vAlign w:val="center"/>
          </w:tcPr>
          <w:p>
            <w:pPr>
              <w:spacing w:line="560" w:lineRule="atLeast"/>
              <w:jc w:val="center"/>
              <w:rPr>
                <w:sz w:val="28"/>
              </w:rPr>
            </w:pPr>
            <w:r>
              <w:t>9</w:t>
            </w:r>
          </w:p>
        </w:tc>
        <w:tc>
          <w:tcPr>
            <w:tcW w:w="2984" w:type="dxa"/>
            <w:vAlign w:val="center"/>
          </w:tcPr>
          <w:p>
            <w:pPr>
              <w:spacing w:line="560" w:lineRule="atLeast"/>
              <w:jc w:val="center"/>
              <w:rPr>
                <w:sz w:val="28"/>
              </w:rP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75"/>
        </w:trPr>
        <w:tc>
          <w:tcPr>
            <w:tcW w:w="448" w:type="dxa"/>
            <w:vAlign w:val="center"/>
          </w:tcPr>
          <w:p>
            <w:pPr>
              <w:spacing w:line="560" w:lineRule="atLeast"/>
              <w:jc w:val="center"/>
              <w:rPr>
                <w:sz w:val="28"/>
              </w:rPr>
            </w:pPr>
            <w:r>
              <w:t>......</w:t>
            </w:r>
          </w:p>
        </w:tc>
        <w:tc>
          <w:tcPr>
            <w:tcW w:w="2984" w:type="dxa"/>
            <w:vAlign w:val="center"/>
          </w:tcPr>
          <w:p>
            <w:pPr>
              <w:spacing w:line="560" w:lineRule="atLeast"/>
              <w:jc w:val="center"/>
              <w:rPr>
                <w:sz w:val="28"/>
              </w:rPr>
            </w:pPr>
          </w:p>
        </w:tc>
        <w:tc>
          <w:tcPr>
            <w:tcW w:w="3172" w:type="dxa"/>
            <w:vAlign w:val="center"/>
          </w:tcPr>
          <w:p>
            <w:pPr>
              <w:spacing w:line="560" w:lineRule="atLeast"/>
              <w:jc w:val="center"/>
              <w:rPr>
                <w:sz w:val="28"/>
              </w:rPr>
            </w:pPr>
          </w:p>
        </w:tc>
        <w:tc>
          <w:tcPr>
            <w:tcW w:w="2599" w:type="dxa"/>
            <w:vAlign w:val="center"/>
          </w:tcPr>
          <w:p>
            <w:pPr>
              <w:spacing w:line="560" w:lineRule="atLeast"/>
              <w:jc w:val="center"/>
              <w:rPr>
                <w:sz w:val="28"/>
              </w:rPr>
            </w:pPr>
          </w:p>
        </w:tc>
      </w:tr>
    </w:tbl>
    <w:p>
      <w:pPr>
        <w:tabs>
          <w:tab w:val="left" w:pos="9365"/>
        </w:tabs>
        <w:snapToGrid w:val="0"/>
        <w:spacing w:after="56" w:line="240" w:lineRule="auto"/>
        <w:ind w:firstLine="623"/>
        <w:textAlignment w:val="top"/>
        <w:rPr>
          <w:rFonts w:ascii="仿宋_GB2312" w:eastAsia="仿宋_GB2312"/>
          <w:sz w:val="24"/>
        </w:rPr>
      </w:pPr>
      <w:r>
        <w:rPr>
          <w:rFonts w:ascii="仿宋_GB2312" w:eastAsia="仿宋_GB2312" w:hint="eastAsia"/>
          <w:sz w:val="24"/>
        </w:rPr>
        <w:t>注：⑴“偏差”栏中详细注明响应文件中条款与</w:t>
      </w:r>
      <w:r>
        <w:rPr>
          <w:rFonts w:ascii="仿宋_GB2312" w:eastAsia="仿宋_GB2312" w:hint="eastAsia"/>
          <w:sz w:val="24"/>
          <w:lang w:val="en-US" w:eastAsia="zh-CN"/>
        </w:rPr>
        <w:t>谈判</w:t>
      </w:r>
      <w:r>
        <w:rPr>
          <w:rFonts w:ascii="仿宋_GB2312" w:eastAsia="仿宋_GB2312" w:hint="eastAsia"/>
          <w:sz w:val="24"/>
        </w:rPr>
        <w:t>文件中要求有何不同，并说明其符合性。供应商应分项目填制本表，页数不够时请自行复印。⑵如响应文件中条款与</w:t>
      </w:r>
      <w:r>
        <w:rPr>
          <w:rFonts w:ascii="仿宋_GB2312" w:eastAsia="仿宋_GB2312" w:hint="eastAsia"/>
          <w:sz w:val="24"/>
          <w:lang w:val="en-US" w:eastAsia="zh-CN"/>
        </w:rPr>
        <w:t>谈判</w:t>
      </w:r>
      <w:r>
        <w:rPr>
          <w:rFonts w:ascii="仿宋_GB2312" w:eastAsia="仿宋_GB2312" w:hint="eastAsia"/>
          <w:sz w:val="24"/>
        </w:rPr>
        <w:t>文件中要求一致，仍需在本表填列“与</w:t>
      </w:r>
      <w:r>
        <w:rPr>
          <w:rFonts w:ascii="仿宋_GB2312" w:eastAsia="仿宋_GB2312" w:hint="eastAsia"/>
          <w:sz w:val="24"/>
          <w:lang w:val="en-US" w:eastAsia="zh-CN"/>
        </w:rPr>
        <w:t>谈判</w:t>
      </w:r>
      <w:r>
        <w:rPr>
          <w:rFonts w:ascii="仿宋_GB2312" w:eastAsia="仿宋_GB2312" w:hint="eastAsia"/>
          <w:sz w:val="24"/>
        </w:rPr>
        <w:t>文件条款要求一致</w:t>
      </w:r>
      <w:r>
        <w:rPr>
          <w:rFonts w:ascii="仿宋_GB2312" w:eastAsia="仿宋_GB2312" w:hint="eastAsia"/>
          <w:sz w:val="24"/>
          <w:lang w:eastAsia="zh-CN"/>
        </w:rPr>
        <w:t>、</w:t>
      </w:r>
      <w:r>
        <w:rPr>
          <w:rFonts w:ascii="仿宋_GB2312" w:eastAsia="仿宋_GB2312" w:hint="eastAsia"/>
          <w:sz w:val="24"/>
          <w:lang w:val="en-US" w:eastAsia="zh-CN"/>
        </w:rPr>
        <w:t>无偏差</w:t>
      </w:r>
      <w:r>
        <w:rPr>
          <w:rFonts w:ascii="仿宋_GB2312" w:eastAsia="仿宋_GB2312" w:hint="eastAsia"/>
          <w:sz w:val="24"/>
        </w:rPr>
        <w:t>”字样。</w:t>
      </w:r>
    </w:p>
    <w:p>
      <w:pPr>
        <w:snapToGrid w:val="0"/>
        <w:spacing w:line="700" w:lineRule="exact"/>
        <w:ind w:right="641"/>
        <w:rPr>
          <w:rFonts w:ascii="仿宋_GB2312" w:eastAsia="仿宋_GB2312" w:hint="eastAsia"/>
          <w:sz w:val="28"/>
          <w:szCs w:val="28"/>
        </w:rPr>
      </w:pPr>
      <w:r>
        <w:rPr>
          <w:rFonts w:ascii="仿宋_GB2312" w:eastAsia="仿宋_GB2312" w:hint="eastAsia"/>
          <w:sz w:val="28"/>
          <w:szCs w:val="28"/>
        </w:rPr>
        <w:t xml:space="preserve">法定代表人（电子签名）：       </w:t>
      </w:r>
    </w:p>
    <w:p>
      <w:pPr>
        <w:snapToGrid w:val="0"/>
        <w:spacing w:line="700" w:lineRule="exact"/>
        <w:ind w:right="641"/>
        <w:rPr>
          <w:rFonts w:ascii="仿宋_GB2312" w:eastAsia="仿宋_GB2312"/>
          <w:sz w:val="28"/>
          <w:szCs w:val="28"/>
        </w:rPr>
      </w:pPr>
      <w:r>
        <w:rPr>
          <w:rFonts w:ascii="仿宋_GB2312" w:eastAsia="仿宋_GB2312" w:hint="eastAsia"/>
          <w:sz w:val="28"/>
          <w:szCs w:val="28"/>
        </w:rPr>
        <w:t xml:space="preserve"> 供应商（电子签章）：</w:t>
      </w:r>
    </w:p>
    <w:p>
      <w:pPr>
        <w:tabs>
          <w:tab w:val="left" w:pos="9365"/>
        </w:tabs>
        <w:snapToGrid w:val="0"/>
        <w:spacing w:after="56" w:line="560" w:lineRule="atLeast"/>
        <w:ind w:right="85" w:firstLine="5"/>
        <w:jc w:val="left"/>
        <w:textAlignment w:val="top"/>
        <w:rPr>
          <w:rFonts w:ascii="仿宋_GB2312" w:eastAsia="仿宋_GB2312"/>
          <w:sz w:val="28"/>
          <w:szCs w:val="28"/>
        </w:rPr>
      </w:pPr>
      <w:r>
        <w:rPr>
          <w:rFonts w:ascii="仿宋_GB2312" w:eastAsia="仿宋_GB2312" w:hint="eastAsia"/>
          <w:sz w:val="28"/>
          <w:szCs w:val="28"/>
        </w:rPr>
        <w:t xml:space="preserve">  日期：</w:t>
      </w:r>
    </w:p>
    <w:p>
      <w:pPr>
        <w:pageBreakBefore/>
        <w:tabs>
          <w:tab w:val="left" w:pos="9365"/>
        </w:tabs>
        <w:snapToGrid w:val="0"/>
        <w:spacing w:after="56" w:line="560" w:lineRule="atLeast"/>
        <w:ind w:right="85" w:firstLine="6"/>
        <w:jc w:val="center"/>
        <w:textAlignment w:val="top"/>
        <w:rPr>
          <w:rFonts w:ascii="宋体" w:hAnsi="宋体" w:hint="eastAsia"/>
          <w:b/>
          <w:sz w:val="44"/>
          <w:szCs w:val="44"/>
        </w:rPr>
        <w:sectPr>
          <w:headerReference w:type="default" r:id="rId8"/>
          <w:footerReference w:type="default" r:id="rId9"/>
          <w:pgSz w:w="11906" w:h="16838"/>
          <w:pgMar w:top="1418" w:right="1134" w:bottom="1134" w:left="1418" w:header="964" w:footer="851" w:gutter="0"/>
          <w:pgNumType w:fmt="decimal" w:start="1"/>
          <w:cols w:num="1" w:space="720"/>
          <w:docGrid w:type="lines" w:linePitch="285" w:charSpace="0"/>
        </w:sectPr>
      </w:pPr>
    </w:p>
    <w:p>
      <w:pPr>
        <w:pageBreakBefore/>
        <w:numPr>
          <w:ilvl w:val="0"/>
          <w:numId w:val="8"/>
        </w:numPr>
        <w:spacing w:line="752" w:lineRule="atLeast"/>
        <w:ind w:left="425" w:hanging="425" w:leftChars="0" w:firstLineChars="0"/>
        <w:jc w:val="center"/>
        <w:outlineLvl w:val="0"/>
        <w:rPr>
          <w:rFonts w:ascii="宋体" w:hAnsi="宋体" w:hint="eastAsia"/>
          <w:b/>
          <w:sz w:val="44"/>
          <w:lang w:val="zh-CN" w:eastAsia="zh-CN"/>
        </w:rPr>
      </w:pPr>
      <w:r>
        <w:rPr>
          <w:rFonts w:ascii="宋体" w:hAnsi="宋体" w:hint="eastAsia"/>
          <w:b/>
          <w:sz w:val="44"/>
          <w:lang w:val="zh-CN" w:eastAsia="zh-CN"/>
        </w:rPr>
        <w:t>拟投</w:t>
      </w:r>
      <w:r>
        <w:rPr>
          <w:rFonts w:ascii="宋体" w:hAnsi="宋体" w:hint="eastAsia"/>
          <w:b/>
          <w:sz w:val="44"/>
          <w:lang w:val="en-US" w:eastAsia="zh-CN"/>
        </w:rPr>
        <w:t>入的</w:t>
      </w:r>
      <w:r>
        <w:rPr>
          <w:rFonts w:ascii="宋体" w:hAnsi="宋体" w:hint="eastAsia"/>
          <w:b/>
          <w:sz w:val="44"/>
          <w:lang w:val="zh-CN" w:eastAsia="zh-CN"/>
        </w:rPr>
        <w:t>人员情况表</w:t>
      </w:r>
    </w:p>
    <w:p>
      <w:pPr>
        <w:snapToGrid w:val="0"/>
        <w:spacing w:line="560" w:lineRule="atLeast"/>
        <w:jc w:val="left"/>
        <w:rPr>
          <w:rFonts w:ascii="仿宋_GB2312" w:eastAsia="仿宋_GB2312"/>
          <w:sz w:val="28"/>
          <w:szCs w:val="28"/>
          <w:u w:val="single"/>
        </w:rPr>
      </w:pPr>
      <w:r>
        <w:rPr>
          <w:rFonts w:ascii="仿宋_GB2312" w:eastAsia="仿宋_GB2312" w:hint="eastAsia"/>
          <w:sz w:val="28"/>
          <w:szCs w:val="28"/>
        </w:rPr>
        <w:t>供应商名称：</w:t>
      </w:r>
    </w:p>
    <w:p>
      <w:pPr>
        <w:snapToGrid w:val="0"/>
        <w:spacing w:line="560" w:lineRule="atLeast"/>
        <w:jc w:val="left"/>
        <w:rPr>
          <w:rFonts w:ascii="仿宋_GB2312" w:eastAsia="仿宋_GB2312"/>
          <w:sz w:val="28"/>
          <w:szCs w:val="28"/>
          <w:u w:val="single"/>
        </w:rPr>
      </w:pPr>
      <w:r>
        <w:rPr>
          <w:rFonts w:ascii="仿宋_GB2312" w:eastAsia="仿宋_GB2312" w:hint="eastAsia"/>
          <w:sz w:val="28"/>
          <w:szCs w:val="28"/>
        </w:rPr>
        <w:t>项目名称：</w:t>
      </w:r>
    </w:p>
    <w:p>
      <w:pPr>
        <w:tabs>
          <w:tab w:val="left" w:pos="9365"/>
        </w:tabs>
        <w:snapToGrid w:val="0"/>
        <w:spacing w:after="56" w:line="560" w:lineRule="atLeast"/>
        <w:jc w:val="left"/>
        <w:textAlignment w:val="top"/>
        <w:rPr>
          <w:rFonts w:ascii="仿宋_GB2312" w:eastAsia="仿宋_GB2312"/>
          <w:sz w:val="32"/>
          <w:szCs w:val="32"/>
        </w:rPr>
      </w:pPr>
      <w:r>
        <w:rPr>
          <w:rFonts w:ascii="仿宋_GB2312" w:eastAsia="仿宋_GB2312" w:hint="eastAsia"/>
          <w:sz w:val="28"/>
          <w:szCs w:val="28"/>
        </w:rPr>
        <w:t>采购编号：</w:t>
      </w:r>
    </w:p>
    <w:tbl>
      <w:tblPr>
        <w:tblStyle w:val="TableNormal"/>
        <w:tblW w:w="0" w:type="auto"/>
        <w:tblInd w:w="-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0" w:type="dxa"/>
          <w:left w:w="0" w:type="dxa"/>
          <w:bottom w:w="0" w:type="dxa"/>
          <w:right w:w="0" w:type="dxa"/>
        </w:tblCellMar>
      </w:tblPr>
      <w:tblGrid>
        <w:gridCol w:w="448"/>
        <w:gridCol w:w="1792"/>
        <w:gridCol w:w="3060"/>
        <w:gridCol w:w="3903"/>
      </w:tblGrid>
      <w:tr>
        <w:tblPrEx>
          <w:tblW w:w="0" w:type="auto"/>
          <w:tblInd w:w="-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0" w:type="dxa"/>
            <w:left w:w="0" w:type="dxa"/>
            <w:bottom w:w="0" w:type="dxa"/>
            <w:right w:w="0" w:type="dxa"/>
          </w:tblCellMar>
        </w:tblPrEx>
        <w:trPr>
          <w:trHeight w:val="840"/>
        </w:trPr>
        <w:tc>
          <w:tcPr>
            <w:tcW w:w="448" w:type="dxa"/>
            <w:vAlign w:val="center"/>
          </w:tcPr>
          <w:p>
            <w:pPr>
              <w:spacing w:line="560" w:lineRule="atLeast"/>
              <w:jc w:val="center"/>
              <w:rPr>
                <w:sz w:val="28"/>
              </w:rPr>
            </w:pPr>
            <w:r>
              <w:t>序号</w:t>
            </w:r>
          </w:p>
        </w:tc>
        <w:tc>
          <w:tcPr>
            <w:tcW w:w="1792" w:type="dxa"/>
            <w:vAlign w:val="center"/>
          </w:tcPr>
          <w:p>
            <w:pPr>
              <w:spacing w:line="560" w:lineRule="atLeast"/>
              <w:jc w:val="center"/>
              <w:rPr>
                <w:sz w:val="28"/>
              </w:rPr>
            </w:pPr>
            <w:r>
              <w:rPr>
                <w:rFonts w:hint="eastAsia"/>
                <w:lang w:val="en-US" w:eastAsia="zh-CN"/>
              </w:rPr>
              <w:t>姓名</w:t>
            </w:r>
          </w:p>
        </w:tc>
        <w:tc>
          <w:tcPr>
            <w:tcW w:w="3060" w:type="dxa"/>
            <w:vAlign w:val="center"/>
          </w:tcPr>
          <w:p>
            <w:pPr>
              <w:spacing w:line="560" w:lineRule="atLeast"/>
              <w:jc w:val="center"/>
              <w:rPr>
                <w:rFonts w:eastAsia="宋体" w:hint="eastAsia"/>
                <w:sz w:val="28"/>
                <w:lang w:eastAsia="zh-CN"/>
              </w:rPr>
            </w:pPr>
            <w:r>
              <w:rPr>
                <w:rFonts w:hint="eastAsia"/>
                <w:lang w:val="en-US" w:eastAsia="zh-CN"/>
              </w:rPr>
              <w:t>身份证</w:t>
            </w:r>
          </w:p>
        </w:tc>
        <w:tc>
          <w:tcPr>
            <w:tcW w:w="3903" w:type="dxa"/>
            <w:vAlign w:val="center"/>
          </w:tcPr>
          <w:p>
            <w:pPr>
              <w:spacing w:line="560" w:lineRule="atLeast"/>
              <w:jc w:val="center"/>
              <w:rPr>
                <w:rFonts w:eastAsia="宋体" w:hint="default"/>
                <w:sz w:val="28"/>
                <w:lang w:val="en-US" w:eastAsia="zh-CN"/>
              </w:rPr>
            </w:pPr>
            <w:r>
              <w:rPr>
                <w:rFonts w:hint="eastAsia"/>
                <w:lang w:val="en-US" w:eastAsia="zh-CN"/>
              </w:rPr>
              <w:t>职务名称</w:t>
            </w:r>
          </w:p>
        </w:tc>
      </w:tr>
      <w:tr>
        <w:tblPrEx>
          <w:tblW w:w="0" w:type="auto"/>
          <w:tblInd w:w="-97" w:type="dxa"/>
          <w:tblLayout w:type="fixed"/>
          <w:tblCellMar>
            <w:top w:w="0" w:type="dxa"/>
            <w:left w:w="0" w:type="dxa"/>
            <w:bottom w:w="0" w:type="dxa"/>
            <w:right w:w="0" w:type="dxa"/>
          </w:tblCellMar>
        </w:tblPrEx>
        <w:trPr>
          <w:trHeight w:val="673"/>
        </w:trPr>
        <w:tc>
          <w:tcPr>
            <w:tcW w:w="448" w:type="dxa"/>
            <w:vAlign w:val="center"/>
          </w:tcPr>
          <w:p>
            <w:pPr>
              <w:spacing w:line="560" w:lineRule="atLeast"/>
              <w:jc w:val="center"/>
              <w:rPr>
                <w:sz w:val="28"/>
              </w:rPr>
            </w:pPr>
            <w:r>
              <w:t>1</w:t>
            </w:r>
          </w:p>
        </w:tc>
        <w:tc>
          <w:tcPr>
            <w:tcW w:w="1792" w:type="dxa"/>
            <w:vAlign w:val="center"/>
          </w:tcPr>
          <w:p>
            <w:pPr>
              <w:spacing w:line="560" w:lineRule="atLeast"/>
              <w:jc w:val="cente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58"/>
        </w:trPr>
        <w:tc>
          <w:tcPr>
            <w:tcW w:w="448" w:type="dxa"/>
            <w:vAlign w:val="center"/>
          </w:tcPr>
          <w:p>
            <w:pPr>
              <w:spacing w:line="560" w:lineRule="atLeast"/>
              <w:jc w:val="center"/>
              <w:rPr>
                <w:sz w:val="28"/>
              </w:rPr>
            </w:pPr>
            <w:r>
              <w:t>2</w:t>
            </w:r>
          </w:p>
        </w:tc>
        <w:tc>
          <w:tcPr>
            <w:tcW w:w="1792" w:type="dxa"/>
            <w:vAlign w:val="center"/>
          </w:tcPr>
          <w:p>
            <w:pPr>
              <w:spacing w:line="560" w:lineRule="atLeast"/>
              <w:jc w:val="cente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58"/>
        </w:trPr>
        <w:tc>
          <w:tcPr>
            <w:tcW w:w="448" w:type="dxa"/>
            <w:vAlign w:val="center"/>
          </w:tcPr>
          <w:p>
            <w:pPr>
              <w:spacing w:line="560" w:lineRule="atLeast"/>
              <w:jc w:val="center"/>
              <w:rPr>
                <w:sz w:val="28"/>
              </w:rPr>
            </w:pPr>
            <w:r>
              <w:t>3</w:t>
            </w:r>
          </w:p>
        </w:tc>
        <w:tc>
          <w:tcPr>
            <w:tcW w:w="1792" w:type="dxa"/>
            <w:vAlign w:val="center"/>
          </w:tcPr>
          <w:p>
            <w:pPr>
              <w:spacing w:line="560" w:lineRule="atLeast"/>
              <w:jc w:val="cente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58"/>
        </w:trPr>
        <w:tc>
          <w:tcPr>
            <w:tcW w:w="448" w:type="dxa"/>
            <w:vAlign w:val="center"/>
          </w:tcPr>
          <w:p>
            <w:pPr>
              <w:spacing w:line="560" w:lineRule="atLeast"/>
              <w:jc w:val="center"/>
              <w:rPr>
                <w:rFonts w:eastAsia="宋体" w:hint="default"/>
                <w:sz w:val="28"/>
                <w:lang w:val="en-US" w:eastAsia="zh-CN"/>
              </w:rPr>
            </w:pPr>
            <w:r>
              <w:rPr>
                <w:rFonts w:hint="eastAsia"/>
                <w:sz w:val="28"/>
                <w:lang w:val="en-US" w:eastAsia="zh-CN"/>
              </w:rPr>
              <w:t>....</w:t>
            </w:r>
          </w:p>
        </w:tc>
        <w:tc>
          <w:tcPr>
            <w:tcW w:w="1792" w:type="dxa"/>
            <w:vAlign w:val="center"/>
          </w:tcPr>
          <w:p>
            <w:pPr>
              <w:spacing w:line="560" w:lineRule="atLeast"/>
              <w:jc w:val="cente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709"/>
        </w:trPr>
        <w:tc>
          <w:tcPr>
            <w:tcW w:w="448" w:type="dxa"/>
            <w:vAlign w:val="center"/>
          </w:tcPr>
          <w:p>
            <w:pPr>
              <w:spacing w:line="560" w:lineRule="atLeast"/>
              <w:jc w:val="center"/>
              <w:rPr>
                <w:sz w:val="28"/>
              </w:rPr>
            </w:pPr>
          </w:p>
        </w:tc>
        <w:tc>
          <w:tcPr>
            <w:tcW w:w="1792" w:type="dxa"/>
            <w:vAlign w:val="center"/>
          </w:tcPr>
          <w:p>
            <w:pPr>
              <w:spacing w:line="560" w:lineRule="atLeast"/>
              <w:jc w:val="center"/>
              <w:rPr>
                <w:sz w:val="28"/>
              </w:rP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75"/>
        </w:trPr>
        <w:tc>
          <w:tcPr>
            <w:tcW w:w="448" w:type="dxa"/>
            <w:vAlign w:val="center"/>
          </w:tcPr>
          <w:p>
            <w:pPr>
              <w:spacing w:line="560" w:lineRule="atLeast"/>
              <w:jc w:val="center"/>
              <w:rPr>
                <w:sz w:val="28"/>
              </w:rPr>
            </w:pPr>
          </w:p>
        </w:tc>
        <w:tc>
          <w:tcPr>
            <w:tcW w:w="1792" w:type="dxa"/>
            <w:vAlign w:val="center"/>
          </w:tcPr>
          <w:p>
            <w:pPr>
              <w:spacing w:line="560" w:lineRule="atLeast"/>
              <w:jc w:val="center"/>
              <w:rPr>
                <w:sz w:val="28"/>
              </w:rP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92"/>
        </w:trPr>
        <w:tc>
          <w:tcPr>
            <w:tcW w:w="448" w:type="dxa"/>
            <w:vAlign w:val="center"/>
          </w:tcPr>
          <w:p>
            <w:pPr>
              <w:spacing w:line="560" w:lineRule="atLeast"/>
              <w:jc w:val="center"/>
              <w:rPr>
                <w:sz w:val="28"/>
              </w:rPr>
            </w:pPr>
          </w:p>
        </w:tc>
        <w:tc>
          <w:tcPr>
            <w:tcW w:w="1792" w:type="dxa"/>
            <w:vAlign w:val="center"/>
          </w:tcPr>
          <w:p>
            <w:pPr>
              <w:spacing w:line="560" w:lineRule="atLeast"/>
              <w:jc w:val="center"/>
              <w:rPr>
                <w:sz w:val="28"/>
              </w:rP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92"/>
        </w:trPr>
        <w:tc>
          <w:tcPr>
            <w:tcW w:w="448" w:type="dxa"/>
            <w:vAlign w:val="center"/>
          </w:tcPr>
          <w:p>
            <w:pPr>
              <w:spacing w:line="560" w:lineRule="atLeast"/>
              <w:jc w:val="center"/>
              <w:rPr>
                <w:sz w:val="28"/>
              </w:rPr>
            </w:pPr>
          </w:p>
        </w:tc>
        <w:tc>
          <w:tcPr>
            <w:tcW w:w="1792" w:type="dxa"/>
            <w:vAlign w:val="center"/>
          </w:tcPr>
          <w:p>
            <w:pPr>
              <w:spacing w:line="560" w:lineRule="atLeast"/>
              <w:jc w:val="center"/>
              <w:rPr>
                <w:sz w:val="28"/>
              </w:rP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69"/>
        </w:trPr>
        <w:tc>
          <w:tcPr>
            <w:tcW w:w="448" w:type="dxa"/>
            <w:vAlign w:val="center"/>
          </w:tcPr>
          <w:p>
            <w:pPr>
              <w:spacing w:line="560" w:lineRule="atLeast"/>
              <w:jc w:val="center"/>
              <w:rPr>
                <w:sz w:val="28"/>
              </w:rPr>
            </w:pPr>
          </w:p>
        </w:tc>
        <w:tc>
          <w:tcPr>
            <w:tcW w:w="1792" w:type="dxa"/>
            <w:vAlign w:val="center"/>
          </w:tcPr>
          <w:p>
            <w:pPr>
              <w:spacing w:line="560" w:lineRule="atLeast"/>
              <w:jc w:val="center"/>
              <w:rPr>
                <w:sz w:val="28"/>
              </w:rP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r>
        <w:tblPrEx>
          <w:tblW w:w="0" w:type="auto"/>
          <w:tblInd w:w="-97" w:type="dxa"/>
          <w:tblLayout w:type="fixed"/>
          <w:tblCellMar>
            <w:top w:w="0" w:type="dxa"/>
            <w:left w:w="0" w:type="dxa"/>
            <w:bottom w:w="0" w:type="dxa"/>
            <w:right w:w="0" w:type="dxa"/>
          </w:tblCellMar>
        </w:tblPrEx>
        <w:trPr>
          <w:trHeight w:val="675"/>
        </w:trPr>
        <w:tc>
          <w:tcPr>
            <w:tcW w:w="448" w:type="dxa"/>
            <w:vAlign w:val="center"/>
          </w:tcPr>
          <w:p>
            <w:pPr>
              <w:spacing w:line="560" w:lineRule="atLeast"/>
              <w:jc w:val="center"/>
              <w:rPr>
                <w:sz w:val="28"/>
              </w:rPr>
            </w:pPr>
          </w:p>
        </w:tc>
        <w:tc>
          <w:tcPr>
            <w:tcW w:w="1792" w:type="dxa"/>
            <w:vAlign w:val="center"/>
          </w:tcPr>
          <w:p>
            <w:pPr>
              <w:spacing w:line="560" w:lineRule="atLeast"/>
              <w:jc w:val="center"/>
              <w:rPr>
                <w:sz w:val="28"/>
              </w:rPr>
            </w:pPr>
          </w:p>
        </w:tc>
        <w:tc>
          <w:tcPr>
            <w:tcW w:w="3060" w:type="dxa"/>
            <w:vAlign w:val="center"/>
          </w:tcPr>
          <w:p>
            <w:pPr>
              <w:spacing w:line="560" w:lineRule="atLeast"/>
              <w:jc w:val="center"/>
              <w:rPr>
                <w:sz w:val="28"/>
              </w:rPr>
            </w:pPr>
          </w:p>
        </w:tc>
        <w:tc>
          <w:tcPr>
            <w:tcW w:w="3903" w:type="dxa"/>
            <w:vAlign w:val="center"/>
          </w:tcPr>
          <w:p>
            <w:pPr>
              <w:spacing w:line="560" w:lineRule="atLeast"/>
              <w:jc w:val="center"/>
              <w:rPr>
                <w:sz w:val="28"/>
              </w:rPr>
            </w:pPr>
          </w:p>
        </w:tc>
      </w:tr>
    </w:tbl>
    <w:p>
      <w:pPr>
        <w:snapToGrid w:val="0"/>
        <w:spacing w:line="700" w:lineRule="exact"/>
        <w:ind w:right="641"/>
        <w:rPr>
          <w:rFonts w:ascii="仿宋_GB2312" w:eastAsia="仿宋_GB2312" w:hint="eastAsia"/>
          <w:sz w:val="28"/>
          <w:szCs w:val="28"/>
        </w:rPr>
      </w:pPr>
      <w:r>
        <w:rPr>
          <w:rFonts w:ascii="仿宋_GB2312" w:eastAsia="仿宋_GB2312" w:hint="eastAsia"/>
          <w:sz w:val="28"/>
          <w:szCs w:val="28"/>
        </w:rPr>
        <w:t xml:space="preserve">法定代表人（电子签名）：       </w:t>
      </w:r>
    </w:p>
    <w:p>
      <w:pPr>
        <w:snapToGrid w:val="0"/>
        <w:spacing w:line="700" w:lineRule="exact"/>
        <w:ind w:right="641"/>
        <w:rPr>
          <w:rFonts w:ascii="仿宋_GB2312" w:eastAsia="仿宋_GB2312"/>
          <w:sz w:val="28"/>
          <w:szCs w:val="28"/>
        </w:rPr>
      </w:pPr>
      <w:r>
        <w:rPr>
          <w:rFonts w:ascii="仿宋_GB2312" w:eastAsia="仿宋_GB2312" w:hint="eastAsia"/>
          <w:sz w:val="28"/>
          <w:szCs w:val="28"/>
        </w:rPr>
        <w:t xml:space="preserve"> 供应商（电子签章）：</w:t>
      </w:r>
    </w:p>
    <w:p>
      <w:pPr>
        <w:tabs>
          <w:tab w:val="left" w:pos="9365"/>
        </w:tabs>
        <w:snapToGrid w:val="0"/>
        <w:spacing w:after="56" w:line="560" w:lineRule="atLeast"/>
        <w:ind w:right="85" w:firstLine="5"/>
        <w:jc w:val="left"/>
        <w:textAlignment w:val="top"/>
        <w:rPr>
          <w:rFonts w:ascii="仿宋_GB2312" w:eastAsia="仿宋_GB2312"/>
          <w:sz w:val="28"/>
          <w:szCs w:val="28"/>
        </w:rPr>
      </w:pPr>
      <w:r>
        <w:rPr>
          <w:rFonts w:ascii="仿宋_GB2312" w:eastAsia="仿宋_GB2312" w:hint="eastAsia"/>
          <w:sz w:val="28"/>
          <w:szCs w:val="28"/>
        </w:rPr>
        <w:t xml:space="preserve">  日期：</w:t>
      </w:r>
    </w:p>
    <w:p>
      <w:pPr>
        <w:tabs>
          <w:tab w:val="left" w:pos="2818"/>
        </w:tabs>
        <w:bidi w:val="0"/>
        <w:jc w:val="left"/>
        <w:rPr>
          <w:rFonts w:hint="eastAsia"/>
          <w:lang w:val="zh-CN" w:eastAsia="zh-CN"/>
        </w:rPr>
      </w:pPr>
    </w:p>
    <w:p>
      <w:pPr>
        <w:pageBreakBefore/>
        <w:numPr>
          <w:ilvl w:val="0"/>
          <w:numId w:val="8"/>
        </w:numPr>
        <w:spacing w:line="752" w:lineRule="atLeast"/>
        <w:ind w:left="425" w:hanging="425" w:leftChars="0" w:firstLineChars="0"/>
        <w:jc w:val="center"/>
        <w:outlineLvl w:val="0"/>
        <w:rPr>
          <w:rFonts w:ascii="宋体" w:hAnsi="宋体" w:hint="default"/>
          <w:b/>
          <w:sz w:val="44"/>
          <w:lang w:val="en-US" w:eastAsia="zh-CN"/>
        </w:rPr>
      </w:pPr>
      <w:r>
        <w:rPr>
          <w:rFonts w:ascii="宋体" w:hAnsi="宋体" w:hint="eastAsia"/>
          <w:b/>
          <w:sz w:val="44"/>
          <w:lang w:val="en-US" w:eastAsia="zh-CN"/>
        </w:rPr>
        <w:t>服务方案</w:t>
      </w:r>
    </w:p>
    <w:p>
      <w:pPr>
        <w:snapToGrid w:val="0"/>
        <w:spacing w:line="560" w:lineRule="atLeast"/>
        <w:ind w:firstLine="555"/>
        <w:rPr>
          <w:rFonts w:ascii="仿宋_GB2312" w:eastAsia="仿宋_GB2312"/>
          <w:sz w:val="32"/>
          <w:szCs w:val="32"/>
        </w:rPr>
      </w:pPr>
    </w:p>
    <w:p>
      <w:pPr>
        <w:snapToGrid w:val="0"/>
        <w:spacing w:line="560" w:lineRule="atLeast"/>
        <w:ind w:firstLine="555"/>
        <w:rPr>
          <w:rFonts w:ascii="仿宋_GB2312" w:eastAsia="仿宋_GB2312"/>
          <w:sz w:val="32"/>
          <w:szCs w:val="32"/>
        </w:rPr>
      </w:pPr>
    </w:p>
    <w:p>
      <w:pPr>
        <w:snapToGrid w:val="0"/>
        <w:spacing w:line="560" w:lineRule="atLeast"/>
        <w:ind w:firstLine="555"/>
        <w:rPr>
          <w:rFonts w:ascii="仿宋_GB2312" w:eastAsia="仿宋_GB2312"/>
          <w:sz w:val="28"/>
          <w:szCs w:val="28"/>
        </w:rPr>
      </w:pPr>
      <w:r>
        <w:rPr>
          <w:rFonts w:ascii="仿宋_GB2312" w:eastAsia="仿宋_GB2312" w:hint="eastAsia"/>
          <w:sz w:val="28"/>
          <w:szCs w:val="28"/>
        </w:rPr>
        <w:t>备注：格式自拟，加盖法定代表人电子签名和单位电子签章。</w:t>
      </w:r>
    </w:p>
    <w:p>
      <w:pPr>
        <w:pageBreakBefore/>
        <w:numPr>
          <w:ilvl w:val="0"/>
          <w:numId w:val="8"/>
        </w:numPr>
        <w:spacing w:line="752" w:lineRule="atLeast"/>
        <w:ind w:left="425" w:hanging="425" w:leftChars="0" w:firstLineChars="0"/>
        <w:jc w:val="center"/>
        <w:outlineLvl w:val="0"/>
        <w:rPr>
          <w:rFonts w:ascii="宋体" w:hAnsi="宋体" w:hint="eastAsia"/>
          <w:b/>
          <w:sz w:val="44"/>
          <w:lang w:val="en-US" w:eastAsia="zh-CN"/>
        </w:rPr>
      </w:pPr>
      <w:r>
        <w:rPr>
          <w:rFonts w:ascii="宋体" w:hAnsi="宋体" w:hint="eastAsia"/>
          <w:b/>
          <w:sz w:val="44"/>
          <w:lang w:val="en-US" w:eastAsia="zh-CN"/>
        </w:rPr>
        <w:t>投标承诺函</w:t>
      </w:r>
    </w:p>
    <w:p>
      <w:pPr>
        <w:tabs>
          <w:tab w:val="left" w:pos="65"/>
        </w:tabs>
        <w:spacing w:line="740" w:lineRule="exact"/>
        <w:rPr>
          <w:rFonts w:ascii="仿宋_GB2312" w:eastAsia="仿宋_GB2312"/>
          <w:sz w:val="28"/>
          <w:szCs w:val="28"/>
        </w:rPr>
      </w:pPr>
      <w:r>
        <w:rPr>
          <w:rFonts w:ascii="仿宋_GB2312" w:eastAsia="仿宋_GB2312" w:hint="eastAsia"/>
          <w:sz w:val="28"/>
          <w:szCs w:val="28"/>
        </w:rPr>
        <w:t>致：</w:t>
      </w:r>
      <w:r>
        <w:rPr>
          <w:rFonts w:ascii="仿宋_GB2312" w:eastAsia="仿宋_GB2312" w:hint="eastAsia"/>
          <w:spacing w:val="11"/>
          <w:sz w:val="28"/>
          <w:szCs w:val="28"/>
          <w:u w:val="single"/>
        </w:rPr>
        <w:t xml:space="preserve">(采购人名称）    </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z w:val="28"/>
          <w:szCs w:val="28"/>
        </w:rPr>
        <w:t>在采购编号为</w:t>
      </w:r>
      <w:r>
        <w:rPr>
          <w:rFonts w:ascii="仿宋_GB2312" w:eastAsia="仿宋_GB2312" w:hint="eastAsia"/>
          <w:sz w:val="28"/>
          <w:szCs w:val="28"/>
          <w:lang w:val="en-US" w:eastAsia="zh-CN"/>
        </w:rPr>
        <w:t xml:space="preserve"> </w:t>
      </w:r>
      <w:r>
        <w:rPr>
          <w:rFonts w:ascii="仿宋_GB2312" w:eastAsia="仿宋_GB2312" w:hint="eastAsia"/>
          <w:sz w:val="28"/>
          <w:szCs w:val="28"/>
          <w:u w:val="single"/>
          <w:lang w:val="en-US" w:eastAsia="zh-CN"/>
        </w:rPr>
        <w:t xml:space="preserve">          </w:t>
      </w:r>
      <w:r>
        <w:rPr>
          <w:rFonts w:ascii="仿宋_GB2312" w:eastAsia="仿宋_GB2312" w:hint="eastAsia"/>
          <w:sz w:val="28"/>
          <w:szCs w:val="28"/>
          <w:lang w:val="en-US" w:eastAsia="zh-CN"/>
        </w:rPr>
        <w:t xml:space="preserve"> </w:t>
      </w:r>
      <w:r>
        <w:rPr>
          <w:rFonts w:ascii="仿宋_GB2312" w:eastAsia="仿宋_GB2312" w:hint="eastAsia"/>
          <w:sz w:val="28"/>
          <w:szCs w:val="28"/>
        </w:rPr>
        <w:t>的</w:t>
      </w:r>
      <w:r>
        <w:rPr>
          <w:rFonts w:ascii="仿宋_GB2312" w:eastAsia="仿宋_GB2312" w:hint="eastAsia"/>
          <w:sz w:val="28"/>
          <w:szCs w:val="28"/>
          <w:u w:val="single"/>
        </w:rPr>
        <w:t xml:space="preserve">    （项目名称）  </w:t>
      </w:r>
      <w:r>
        <w:rPr>
          <w:rFonts w:ascii="仿宋_GB2312" w:eastAsia="仿宋_GB2312" w:hint="eastAsia"/>
          <w:sz w:val="28"/>
          <w:szCs w:val="28"/>
        </w:rPr>
        <w:t>采购活动中，</w:t>
      </w:r>
      <w:r>
        <w:rPr>
          <w:rFonts w:ascii="仿宋_GB2312" w:eastAsia="仿宋_GB2312" w:hint="eastAsia"/>
          <w:spacing w:val="8"/>
          <w:sz w:val="28"/>
        </w:rPr>
        <w:t>我单位承诺：</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一、遵循公开、公平、公正和诚实信</w:t>
      </w:r>
      <w:bookmarkStart w:id="10" w:name="_Hlt51769089"/>
      <w:bookmarkEnd w:id="10"/>
      <w:bookmarkStart w:id="11" w:name="_Hlt51769088"/>
      <w:bookmarkEnd w:id="11"/>
      <w:r>
        <w:rPr>
          <w:rFonts w:ascii="仿宋_GB2312" w:eastAsia="仿宋_GB2312" w:hint="eastAsia"/>
          <w:spacing w:val="8"/>
          <w:sz w:val="28"/>
        </w:rPr>
        <w:t>用的原则自愿参加本项目投标；</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二、在采购活动中提供真实、准确、有效、合法的材料，不提供虚假材料；</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三、按照采购文件规定，在提交响应文件截止时间后，在采购文件规定的响应有效期限内不撤回响应文件；</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四、不与其他供应商、采购人或采购代理机构串通或恶意串通；</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五、如我单位成交，除不可抗拒力或采购文件认可的情形外，我单位承诺及时领取成交通知书，在成交通知书规定时间、地点与采购人签订合同；</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六、遵守法律法规及采购文件规定的其他情况；</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七、违背上述承诺事项的，我单位无条件接受以下责任追究：</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1.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2.违约责任：</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2.1已成交的，成交无效；</w:t>
      </w:r>
    </w:p>
    <w:p>
      <w:pPr>
        <w:snapToGrid w:val="0"/>
        <w:spacing w:line="500" w:lineRule="exact"/>
        <w:ind w:right="-6" w:firstLine="560" w:firstLineChars="200"/>
        <w:rPr>
          <w:rFonts w:ascii="仿宋_GB2312" w:eastAsia="仿宋_GB2312"/>
          <w:spacing w:val="8"/>
          <w:sz w:val="28"/>
        </w:rPr>
      </w:pPr>
      <w:r>
        <w:rPr>
          <w:rFonts w:ascii="仿宋_GB2312" w:eastAsia="仿宋_GB2312" w:hint="eastAsia"/>
          <w:spacing w:val="8"/>
          <w:sz w:val="28"/>
        </w:rPr>
        <w:t>2.2给采购人及他人造成损失的，愿承担相应的赔偿责任。</w:t>
      </w:r>
    </w:p>
    <w:p>
      <w:pPr>
        <w:snapToGrid w:val="0"/>
        <w:spacing w:before="100" w:beforeAutospacing="1" w:after="100" w:afterAutospacing="1" w:line="540" w:lineRule="exact"/>
        <w:ind w:right="641"/>
        <w:rPr>
          <w:rFonts w:ascii="仿宋_GB2312" w:eastAsia="仿宋_GB2312"/>
          <w:sz w:val="28"/>
          <w:szCs w:val="28"/>
        </w:rPr>
      </w:pPr>
      <w:r>
        <w:rPr>
          <w:rFonts w:ascii="仿宋_GB2312" w:eastAsia="仿宋_GB2312" w:hint="eastAsia"/>
          <w:sz w:val="28"/>
          <w:szCs w:val="28"/>
        </w:rPr>
        <w:t>法定代表人（电子签名）：</w:t>
      </w:r>
    </w:p>
    <w:p>
      <w:pPr>
        <w:snapToGrid w:val="0"/>
        <w:spacing w:before="100" w:beforeAutospacing="1" w:after="100" w:afterAutospacing="1" w:line="540" w:lineRule="exact"/>
        <w:ind w:right="641"/>
        <w:rPr>
          <w:rFonts w:ascii="仿宋_GB2312" w:eastAsia="仿宋_GB2312"/>
          <w:sz w:val="28"/>
          <w:szCs w:val="28"/>
        </w:rPr>
      </w:pPr>
      <w:r>
        <w:rPr>
          <w:rFonts w:ascii="仿宋_GB2312" w:eastAsia="仿宋_GB2312" w:hint="eastAsia"/>
          <w:sz w:val="28"/>
          <w:szCs w:val="28"/>
        </w:rPr>
        <w:t>供应商（电子签章）：</w:t>
      </w:r>
    </w:p>
    <w:p>
      <w:pPr>
        <w:spacing w:line="500" w:lineRule="exact"/>
        <w:rPr>
          <w:rFonts w:ascii="仿宋_GB2312" w:eastAsia="仿宋_GB2312"/>
          <w:spacing w:val="8"/>
          <w:sz w:val="28"/>
        </w:rPr>
      </w:pPr>
      <w:r>
        <w:rPr>
          <w:rFonts w:ascii="仿宋_GB2312" w:eastAsia="仿宋_GB2312" w:hint="eastAsia"/>
          <w:sz w:val="28"/>
          <w:szCs w:val="28"/>
        </w:rPr>
        <w:t>日期：</w:t>
      </w:r>
    </w:p>
    <w:p>
      <w:pPr>
        <w:pageBreakBefore/>
        <w:numPr>
          <w:ilvl w:val="0"/>
          <w:numId w:val="8"/>
        </w:numPr>
        <w:spacing w:line="752" w:lineRule="atLeast"/>
        <w:ind w:left="425" w:hanging="425" w:leftChars="0" w:firstLineChars="0"/>
        <w:jc w:val="center"/>
        <w:outlineLvl w:val="0"/>
        <w:rPr>
          <w:rFonts w:ascii="宋体" w:hAnsi="宋体" w:hint="eastAsia"/>
          <w:b/>
          <w:sz w:val="44"/>
          <w:lang w:val="en-US" w:eastAsia="zh-CN"/>
        </w:rPr>
      </w:pPr>
      <w:r>
        <w:rPr>
          <w:rFonts w:ascii="宋体" w:hAnsi="宋体" w:hint="eastAsia"/>
          <w:b/>
          <w:sz w:val="44"/>
          <w:lang w:val="en-US" w:eastAsia="zh-CN"/>
        </w:rPr>
        <w:t>中小企业声明函</w:t>
      </w:r>
    </w:p>
    <w:p>
      <w:pPr>
        <w:spacing w:line="588" w:lineRule="exact"/>
        <w:ind w:firstLine="560" w:firstLineChars="200"/>
        <w:rPr>
          <w:rFonts w:ascii="仿宋_GB2312" w:eastAsia="仿宋_GB2312"/>
          <w:sz w:val="28"/>
          <w:szCs w:val="28"/>
        </w:rPr>
      </w:pPr>
    </w:p>
    <w:p>
      <w:pPr>
        <w:spacing w:line="588" w:lineRule="exact"/>
        <w:ind w:firstLine="560" w:firstLineChars="200"/>
        <w:rPr>
          <w:rFonts w:ascii="仿宋_GB2312" w:eastAsia="仿宋_GB2312"/>
          <w:sz w:val="28"/>
          <w:szCs w:val="28"/>
        </w:rPr>
      </w:pPr>
      <w:r>
        <w:rPr>
          <w:rFonts w:ascii="仿宋_GB2312" w:eastAsia="仿宋_GB2312" w:hint="eastAsia"/>
          <w:sz w:val="28"/>
          <w:szCs w:val="28"/>
        </w:rPr>
        <w:t>本公司（或联合体）郑重声明，根据《政府采购促进中小企业发展管理办法》（财库[2020]46号）的规定，本公司（或联合体）参加</w:t>
      </w:r>
      <w:r>
        <w:rPr>
          <w:rFonts w:ascii="仿宋_GB2312" w:eastAsia="仿宋_GB2312" w:hint="eastAsia"/>
          <w:sz w:val="28"/>
          <w:szCs w:val="28"/>
          <w:u w:val="single"/>
        </w:rPr>
        <w:t xml:space="preserve">  （采购单位）  </w:t>
      </w:r>
      <w:r>
        <w:rPr>
          <w:rFonts w:ascii="仿宋_GB2312" w:eastAsia="仿宋_GB2312" w:hint="eastAsia"/>
          <w:sz w:val="28"/>
          <w:szCs w:val="28"/>
        </w:rPr>
        <w:t>的</w:t>
      </w:r>
      <w:r>
        <w:rPr>
          <w:rFonts w:ascii="仿宋_GB2312" w:eastAsia="仿宋_GB2312" w:hint="eastAsia"/>
          <w:sz w:val="28"/>
          <w:szCs w:val="28"/>
          <w:u w:val="single"/>
        </w:rPr>
        <w:t xml:space="preserve">    （项目名称）  </w:t>
      </w:r>
      <w:r>
        <w:rPr>
          <w:rFonts w:ascii="仿宋_GB2312" w:eastAsia="仿宋_GB2312" w:hint="eastAsia"/>
          <w:sz w:val="28"/>
          <w:szCs w:val="28"/>
        </w:rPr>
        <w:t>采购活动，提供的</w:t>
      </w:r>
      <w:r>
        <w:rPr>
          <w:rFonts w:ascii="仿宋_GB2312" w:eastAsia="仿宋_GB2312" w:hint="eastAsia"/>
          <w:sz w:val="28"/>
          <w:szCs w:val="28"/>
          <w:lang w:val="en-US" w:eastAsia="zh-CN"/>
        </w:rPr>
        <w:t>服务</w:t>
      </w:r>
      <w:r>
        <w:rPr>
          <w:rFonts w:ascii="仿宋_GB2312" w:eastAsia="仿宋_GB2312" w:hint="eastAsia"/>
          <w:sz w:val="28"/>
          <w:szCs w:val="28"/>
        </w:rPr>
        <w:t>全部由符合政策要求的中小企业</w:t>
      </w:r>
      <w:r>
        <w:rPr>
          <w:rFonts w:ascii="仿宋_GB2312" w:eastAsia="仿宋_GB2312" w:hint="eastAsia"/>
          <w:sz w:val="28"/>
          <w:szCs w:val="28"/>
          <w:lang w:val="en-US" w:eastAsia="zh-CN"/>
        </w:rPr>
        <w:t>提供</w:t>
      </w:r>
      <w:r>
        <w:rPr>
          <w:rFonts w:ascii="仿宋_GB2312" w:eastAsia="仿宋_GB2312" w:hint="eastAsia"/>
          <w:sz w:val="28"/>
          <w:szCs w:val="28"/>
        </w:rPr>
        <w:t>。相关企业（含联合体中的中小企业、签订分包意向协议的中小企业）的具体情况如下：</w:t>
      </w:r>
    </w:p>
    <w:p>
      <w:pPr>
        <w:spacing w:line="588" w:lineRule="exact"/>
        <w:ind w:firstLine="560" w:firstLineChars="200"/>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sz w:val="28"/>
          <w:szCs w:val="28"/>
          <w:u w:val="single"/>
        </w:rPr>
        <w:t>_（标的名称）</w:t>
      </w:r>
      <w:r>
        <w:rPr>
          <w:rFonts w:ascii="仿宋_GB2312" w:eastAsia="仿宋_GB2312" w:hint="eastAsia"/>
          <w:sz w:val="28"/>
          <w:szCs w:val="28"/>
        </w:rPr>
        <w:t>_，属于</w:t>
      </w:r>
      <w:r>
        <w:rPr>
          <w:rFonts w:ascii="仿宋_GB2312" w:eastAsia="仿宋_GB2312" w:hint="eastAsia"/>
          <w:sz w:val="28"/>
          <w:szCs w:val="28"/>
          <w:u w:val="single"/>
        </w:rPr>
        <w:t xml:space="preserve">  （采购文件中明确的所属行业）  </w:t>
      </w:r>
      <w:r>
        <w:rPr>
          <w:rFonts w:ascii="仿宋_GB2312" w:eastAsia="仿宋_GB2312" w:hint="eastAsia"/>
          <w:sz w:val="28"/>
          <w:szCs w:val="28"/>
        </w:rPr>
        <w:t>；</w:t>
      </w:r>
      <w:r>
        <w:rPr>
          <w:rFonts w:ascii="仿宋_GB2312" w:eastAsia="仿宋_GB2312" w:hint="eastAsia"/>
          <w:sz w:val="28"/>
          <w:szCs w:val="28"/>
          <w:lang w:val="en-US" w:eastAsia="zh-CN"/>
        </w:rPr>
        <w:t>服务企业</w:t>
      </w:r>
      <w:r>
        <w:rPr>
          <w:rFonts w:ascii="仿宋_GB2312" w:eastAsia="仿宋_GB2312" w:hint="eastAsia"/>
          <w:sz w:val="28"/>
          <w:szCs w:val="28"/>
        </w:rPr>
        <w:t>为</w:t>
      </w:r>
      <w:r>
        <w:rPr>
          <w:rFonts w:ascii="仿宋_GB2312" w:eastAsia="仿宋_GB2312" w:hint="eastAsia"/>
          <w:sz w:val="28"/>
          <w:szCs w:val="28"/>
          <w:u w:val="single"/>
        </w:rPr>
        <w:t xml:space="preserve">   （企业名称）    </w:t>
      </w:r>
      <w:r>
        <w:rPr>
          <w:rFonts w:ascii="仿宋_GB2312" w:eastAsia="仿宋_GB2312" w:hint="eastAsia"/>
          <w:sz w:val="28"/>
          <w:szCs w:val="28"/>
        </w:rPr>
        <w:t>，从业人员</w:t>
      </w:r>
      <w:r>
        <w:rPr>
          <w:rFonts w:ascii="仿宋_GB2312" w:eastAsia="仿宋_GB2312" w:hint="eastAsia"/>
          <w:sz w:val="28"/>
          <w:szCs w:val="28"/>
          <w:u w:val="single"/>
          <w:lang w:val="en-US" w:eastAsia="zh-CN"/>
        </w:rPr>
        <w:t xml:space="preserve">   </w:t>
      </w:r>
      <w:r>
        <w:rPr>
          <w:rFonts w:ascii="仿宋_GB2312" w:eastAsia="仿宋_GB2312" w:hint="eastAsia"/>
          <w:sz w:val="28"/>
          <w:szCs w:val="28"/>
        </w:rPr>
        <w:t>人，营业收入为</w:t>
      </w:r>
      <w:r>
        <w:rPr>
          <w:rFonts w:ascii="仿宋_GB2312" w:eastAsia="仿宋_GB2312" w:hint="eastAsia"/>
          <w:sz w:val="28"/>
          <w:szCs w:val="28"/>
          <w:u w:val="single"/>
          <w:lang w:val="en-US" w:eastAsia="zh-CN"/>
        </w:rPr>
        <w:t xml:space="preserve">    </w:t>
      </w:r>
      <w:r>
        <w:rPr>
          <w:rFonts w:ascii="仿宋_GB2312" w:eastAsia="仿宋_GB2312" w:hint="eastAsia"/>
          <w:sz w:val="28"/>
          <w:szCs w:val="28"/>
        </w:rPr>
        <w:t>万元，资产总额为</w:t>
      </w:r>
      <w:r>
        <w:rPr>
          <w:rFonts w:ascii="仿宋_GB2312" w:eastAsia="仿宋_GB2312" w:hint="eastAsia"/>
          <w:sz w:val="28"/>
          <w:szCs w:val="28"/>
          <w:u w:val="single"/>
          <w:lang w:val="en-US" w:eastAsia="zh-CN"/>
        </w:rPr>
        <w:t xml:space="preserve">    </w:t>
      </w:r>
      <w:r>
        <w:rPr>
          <w:rFonts w:ascii="仿宋_GB2312" w:eastAsia="仿宋_GB2312" w:hint="eastAsia"/>
          <w:sz w:val="28"/>
          <w:szCs w:val="28"/>
        </w:rPr>
        <w:t>万元，属于_</w:t>
      </w:r>
      <w:r>
        <w:rPr>
          <w:rFonts w:ascii="仿宋_GB2312" w:eastAsia="仿宋_GB2312" w:hint="eastAsia"/>
          <w:sz w:val="28"/>
          <w:szCs w:val="28"/>
          <w:u w:val="single"/>
        </w:rPr>
        <w:t>（中型企业、小型企业、微型企业）</w:t>
      </w:r>
      <w:r>
        <w:rPr>
          <w:rFonts w:ascii="仿宋_GB2312" w:eastAsia="仿宋_GB2312" w:hint="eastAsia"/>
          <w:sz w:val="28"/>
          <w:szCs w:val="28"/>
        </w:rPr>
        <w:t>；</w:t>
      </w:r>
    </w:p>
    <w:p>
      <w:pPr>
        <w:spacing w:line="588" w:lineRule="exact"/>
        <w:ind w:firstLine="560" w:firstLineChars="200"/>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int="eastAsia"/>
          <w:sz w:val="28"/>
          <w:szCs w:val="28"/>
          <w:u w:val="single"/>
        </w:rPr>
        <w:t>_（标的名称）</w:t>
      </w:r>
      <w:r>
        <w:rPr>
          <w:rFonts w:ascii="仿宋_GB2312" w:eastAsia="仿宋_GB2312" w:hint="eastAsia"/>
          <w:sz w:val="28"/>
          <w:szCs w:val="28"/>
        </w:rPr>
        <w:t>_，属于</w:t>
      </w:r>
      <w:r>
        <w:rPr>
          <w:rFonts w:ascii="仿宋_GB2312" w:eastAsia="仿宋_GB2312" w:hint="eastAsia"/>
          <w:sz w:val="28"/>
          <w:szCs w:val="28"/>
          <w:u w:val="single"/>
        </w:rPr>
        <w:t xml:space="preserve">  （采购文件中明确的所属行业）  </w:t>
      </w:r>
      <w:r>
        <w:rPr>
          <w:rFonts w:ascii="仿宋_GB2312" w:eastAsia="仿宋_GB2312" w:hint="eastAsia"/>
          <w:sz w:val="28"/>
          <w:szCs w:val="28"/>
        </w:rPr>
        <w:t>；</w:t>
      </w:r>
      <w:r>
        <w:rPr>
          <w:rFonts w:ascii="仿宋_GB2312" w:eastAsia="仿宋_GB2312" w:hint="eastAsia"/>
          <w:sz w:val="28"/>
          <w:szCs w:val="28"/>
          <w:lang w:val="en-US" w:eastAsia="zh-CN"/>
        </w:rPr>
        <w:t>服务企业</w:t>
      </w:r>
      <w:r>
        <w:rPr>
          <w:rFonts w:ascii="仿宋_GB2312" w:eastAsia="仿宋_GB2312" w:hint="eastAsia"/>
          <w:sz w:val="28"/>
          <w:szCs w:val="28"/>
        </w:rPr>
        <w:t>为</w:t>
      </w:r>
      <w:r>
        <w:rPr>
          <w:rFonts w:ascii="仿宋_GB2312" w:eastAsia="仿宋_GB2312" w:hint="eastAsia"/>
          <w:sz w:val="28"/>
          <w:szCs w:val="28"/>
          <w:u w:val="single"/>
        </w:rPr>
        <w:t xml:space="preserve">   （企业名称）    </w:t>
      </w:r>
      <w:r>
        <w:rPr>
          <w:rFonts w:ascii="仿宋_GB2312" w:eastAsia="仿宋_GB2312" w:hint="eastAsia"/>
          <w:sz w:val="28"/>
          <w:szCs w:val="28"/>
        </w:rPr>
        <w:t>，从业人员</w:t>
      </w:r>
      <w:r>
        <w:rPr>
          <w:rFonts w:ascii="仿宋_GB2312" w:eastAsia="仿宋_GB2312" w:hint="eastAsia"/>
          <w:sz w:val="28"/>
          <w:szCs w:val="28"/>
          <w:u w:val="single"/>
          <w:lang w:val="en-US" w:eastAsia="zh-CN"/>
        </w:rPr>
        <w:t xml:space="preserve">    </w:t>
      </w:r>
      <w:r>
        <w:rPr>
          <w:rFonts w:ascii="仿宋_GB2312" w:eastAsia="仿宋_GB2312" w:hint="eastAsia"/>
          <w:sz w:val="28"/>
          <w:szCs w:val="28"/>
        </w:rPr>
        <w:t>人，营业收入为</w:t>
      </w:r>
      <w:r>
        <w:rPr>
          <w:rFonts w:ascii="仿宋_GB2312" w:eastAsia="仿宋_GB2312" w:hint="eastAsia"/>
          <w:sz w:val="28"/>
          <w:szCs w:val="28"/>
          <w:u w:val="single"/>
          <w:lang w:val="en-US" w:eastAsia="zh-CN"/>
        </w:rPr>
        <w:t xml:space="preserve">    </w:t>
      </w:r>
      <w:r>
        <w:rPr>
          <w:rFonts w:ascii="仿宋_GB2312" w:eastAsia="仿宋_GB2312" w:hint="eastAsia"/>
          <w:sz w:val="28"/>
          <w:szCs w:val="28"/>
        </w:rPr>
        <w:t>万元，资产总额为</w:t>
      </w:r>
      <w:r>
        <w:rPr>
          <w:rFonts w:ascii="仿宋_GB2312" w:eastAsia="仿宋_GB2312" w:hint="eastAsia"/>
          <w:sz w:val="28"/>
          <w:szCs w:val="28"/>
          <w:u w:val="single"/>
          <w:lang w:val="en-US" w:eastAsia="zh-CN"/>
        </w:rPr>
        <w:t xml:space="preserve">        </w:t>
      </w:r>
      <w:r>
        <w:rPr>
          <w:rFonts w:ascii="仿宋_GB2312" w:eastAsia="仿宋_GB2312" w:hint="eastAsia"/>
          <w:sz w:val="28"/>
          <w:szCs w:val="28"/>
        </w:rPr>
        <w:t>万元，属于_</w:t>
      </w:r>
      <w:r>
        <w:rPr>
          <w:rFonts w:ascii="仿宋_GB2312" w:eastAsia="仿宋_GB2312" w:hint="eastAsia"/>
          <w:sz w:val="28"/>
          <w:szCs w:val="28"/>
          <w:u w:val="single"/>
        </w:rPr>
        <w:t>（中型企业、小型企业、微型企业）</w:t>
      </w:r>
      <w:r>
        <w:rPr>
          <w:rFonts w:ascii="仿宋_GB2312" w:eastAsia="仿宋_GB2312" w:hint="eastAsia"/>
          <w:sz w:val="28"/>
          <w:szCs w:val="28"/>
        </w:rPr>
        <w:t>；</w:t>
      </w:r>
    </w:p>
    <w:p>
      <w:pPr>
        <w:spacing w:line="588" w:lineRule="exact"/>
        <w:ind w:firstLine="560" w:firstLineChars="20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w:t>
      </w:r>
    </w:p>
    <w:p>
      <w:pPr>
        <w:tabs>
          <w:tab w:val="left" w:pos="9365"/>
        </w:tabs>
        <w:snapToGrid w:val="0"/>
        <w:spacing w:after="56" w:line="560" w:lineRule="atLeast"/>
        <w:ind w:right="85" w:firstLine="563" w:firstLineChars="201"/>
        <w:jc w:val="left"/>
        <w:textAlignment w:val="top"/>
        <w:rPr>
          <w:rFonts w:ascii="仿宋_GB2312" w:eastAsia="仿宋_GB2312"/>
          <w:sz w:val="28"/>
          <w:szCs w:val="28"/>
        </w:rPr>
      </w:pPr>
      <w:r>
        <w:rPr>
          <w:rFonts w:ascii="仿宋_GB2312" w:eastAsia="仿宋_GB2312" w:hint="eastAsia"/>
          <w:sz w:val="28"/>
          <w:szCs w:val="28"/>
        </w:rPr>
        <w:t>以上企业，不属于大企业的分支机构，不存在控股股东为大企业的情形，也不存在与大企业的负责人为同一人的情形。</w:t>
      </w:r>
    </w:p>
    <w:p>
      <w:pPr>
        <w:tabs>
          <w:tab w:val="left" w:pos="9365"/>
        </w:tabs>
        <w:snapToGrid w:val="0"/>
        <w:spacing w:after="56" w:line="560" w:lineRule="atLeast"/>
        <w:ind w:right="85" w:firstLine="563" w:firstLineChars="201"/>
        <w:jc w:val="left"/>
        <w:textAlignment w:val="top"/>
        <w:rPr>
          <w:rFonts w:ascii="仿宋_GB2312" w:eastAsia="仿宋_GB2312"/>
          <w:sz w:val="32"/>
          <w:szCs w:val="32"/>
        </w:rPr>
      </w:pPr>
      <w:r>
        <w:rPr>
          <w:rFonts w:ascii="仿宋_GB2312" w:eastAsia="仿宋_GB2312" w:hint="eastAsia"/>
          <w:sz w:val="28"/>
          <w:szCs w:val="28"/>
        </w:rPr>
        <w:t>本企业对上述声明内容的真实性负责。如有虚假，将依法承担相应责任。</w:t>
      </w:r>
    </w:p>
    <w:p>
      <w:pPr>
        <w:snapToGrid w:val="0"/>
        <w:spacing w:before="100" w:beforeAutospacing="1" w:after="100" w:afterAutospacing="1" w:line="500" w:lineRule="exact"/>
        <w:ind w:right="641"/>
        <w:rPr>
          <w:rFonts w:ascii="仿宋_GB2312" w:eastAsia="仿宋_GB2312"/>
          <w:sz w:val="28"/>
          <w:szCs w:val="28"/>
        </w:rPr>
      </w:pPr>
      <w:r>
        <w:rPr>
          <w:rFonts w:ascii="仿宋_GB2312" w:eastAsia="仿宋_GB2312" w:hint="eastAsia"/>
          <w:sz w:val="28"/>
          <w:szCs w:val="28"/>
        </w:rPr>
        <w:t>法定代表人（电子签名）：</w:t>
      </w:r>
    </w:p>
    <w:p>
      <w:pPr>
        <w:snapToGrid w:val="0"/>
        <w:spacing w:before="100" w:beforeAutospacing="1" w:after="100" w:afterAutospacing="1" w:line="500" w:lineRule="exact"/>
        <w:ind w:right="641"/>
        <w:rPr>
          <w:rFonts w:ascii="仿宋_GB2312" w:eastAsia="仿宋_GB2312" w:hint="eastAsia"/>
          <w:sz w:val="28"/>
          <w:szCs w:val="28"/>
        </w:rPr>
      </w:pPr>
      <w:r>
        <w:rPr>
          <w:rFonts w:ascii="仿宋_GB2312" w:eastAsia="仿宋_GB2312" w:hint="eastAsia"/>
          <w:sz w:val="28"/>
          <w:szCs w:val="28"/>
        </w:rPr>
        <w:t>供应商（电子签章）：</w:t>
      </w:r>
    </w:p>
    <w:p>
      <w:pPr>
        <w:snapToGrid w:val="0"/>
        <w:spacing w:before="100" w:beforeAutospacing="1" w:after="100" w:afterAutospacing="1" w:line="500" w:lineRule="exact"/>
        <w:ind w:right="641"/>
        <w:rPr>
          <w:rFonts w:ascii="仿宋_GB2312" w:eastAsia="仿宋_GB2312"/>
          <w:sz w:val="28"/>
          <w:szCs w:val="28"/>
        </w:rPr>
      </w:pPr>
      <w:r>
        <w:rPr>
          <w:rFonts w:ascii="仿宋_GB2312" w:eastAsia="仿宋_GB2312" w:hint="eastAsia"/>
          <w:sz w:val="28"/>
          <w:szCs w:val="28"/>
        </w:rPr>
        <w:t xml:space="preserve"> 日期：</w:t>
      </w:r>
    </w:p>
    <w:p>
      <w:pPr>
        <w:snapToGrid w:val="0"/>
        <w:spacing w:before="100" w:beforeAutospacing="1" w:after="100" w:afterAutospacing="1" w:line="540" w:lineRule="exact"/>
        <w:ind w:right="85" w:firstLine="560" w:firstLineChars="200"/>
        <w:jc w:val="left"/>
        <w:textAlignment w:val="top"/>
        <w:rPr>
          <w:rFonts w:ascii="仿宋_GB2312" w:eastAsia="仿宋_GB2312"/>
          <w:sz w:val="28"/>
          <w:szCs w:val="28"/>
        </w:rPr>
      </w:pPr>
      <w:r>
        <w:rPr>
          <w:rFonts w:ascii="仿宋_GB2312" w:eastAsia="仿宋_GB2312" w:hint="eastAsia"/>
          <w:sz w:val="28"/>
          <w:szCs w:val="28"/>
        </w:rPr>
        <w:t>备注：从业人员、营业收入、资产总额填报上一年度数据，无上一年度数据的新成立企业可不填报。</w:t>
      </w:r>
    </w:p>
    <w:p>
      <w:pPr>
        <w:snapToGrid w:val="0"/>
        <w:spacing w:line="540" w:lineRule="exact"/>
        <w:ind w:right="85"/>
        <w:jc w:val="left"/>
        <w:textAlignment w:val="top"/>
        <w:rPr>
          <w:rFonts w:ascii="仿宋_GB2312" w:eastAsia="仿宋_GB2312"/>
          <w:szCs w:val="21"/>
        </w:rPr>
      </w:pPr>
      <w:r>
        <w:rPr>
          <w:rFonts w:ascii="仿宋_GB2312" w:eastAsia="仿宋_GB2312" w:hint="eastAsia"/>
          <w:szCs w:val="21"/>
        </w:rPr>
        <w:t>各行业划型标准为：</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（一）农、林、牧、渔业。营业收入20000万元以下的为中小微型企业。其中，营业收入500万元及以上的为中型企业，营业收入50万元及以上的为小型企业，营业收入50万元以下的为微型企业。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spacing w:line="540" w:lineRule="exact"/>
        <w:ind w:right="85" w:firstLine="420" w:firstLineChars="200"/>
        <w:jc w:val="left"/>
        <w:textAlignment w:val="top"/>
        <w:rPr>
          <w:rFonts w:ascii="仿宋_GB2312" w:eastAsia="仿宋_GB2312"/>
          <w:szCs w:val="21"/>
        </w:rPr>
      </w:pPr>
      <w:r>
        <w:rPr>
          <w:rFonts w:ascii="仿宋_GB2312" w:eastAsia="仿宋_GB2312"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napToGrid w:val="0"/>
        <w:spacing w:before="100" w:beforeAutospacing="1" w:after="100" w:afterAutospacing="1" w:line="540" w:lineRule="exact"/>
        <w:ind w:right="85" w:firstLine="420" w:firstLineChars="200"/>
        <w:jc w:val="left"/>
        <w:textAlignment w:val="top"/>
        <w:rPr>
          <w:rFonts w:ascii="仿宋_GB2312" w:eastAsia="仿宋_GB2312"/>
          <w:sz w:val="28"/>
          <w:szCs w:val="28"/>
        </w:rPr>
      </w:pPr>
      <w:r>
        <w:rPr>
          <w:rFonts w:ascii="仿宋_GB2312" w:eastAsia="仿宋_GB2312" w:hint="eastAsia"/>
          <w:szCs w:val="21"/>
        </w:rPr>
        <w:t>（十六）其他未列明行业。从业人员300人以下的为中小微型企业。其中，从业人员100人及以上的为中型企业；从业人员10人及以上的为小型企业；从业人员10人以下的为微型企业。</w:t>
      </w:r>
    </w:p>
    <w:p>
      <w:pPr>
        <w:pageBreakBefore/>
        <w:numPr>
          <w:ilvl w:val="0"/>
          <w:numId w:val="8"/>
        </w:numPr>
        <w:spacing w:line="752" w:lineRule="atLeast"/>
        <w:ind w:left="425" w:hanging="425" w:leftChars="0" w:firstLineChars="0"/>
        <w:jc w:val="center"/>
        <w:outlineLvl w:val="0"/>
        <w:rPr>
          <w:rFonts w:ascii="宋体" w:hAnsi="宋体" w:hint="eastAsia"/>
          <w:b/>
          <w:sz w:val="44"/>
          <w:lang w:val="en-US" w:eastAsia="zh-CN"/>
        </w:rPr>
      </w:pPr>
      <w:bookmarkStart w:id="12" w:name="OLE_LINK13"/>
      <w:bookmarkStart w:id="13" w:name="OLE_LINK14"/>
      <w:r>
        <w:rPr>
          <w:rFonts w:ascii="宋体" w:hAnsi="宋体" w:hint="eastAsia"/>
          <w:b/>
          <w:sz w:val="44"/>
          <w:lang w:val="en-US" w:eastAsia="zh-CN"/>
        </w:rPr>
        <w:t>残疾人福利性单位声明函（如需要）</w:t>
      </w:r>
    </w:p>
    <w:bookmarkEnd w:id="12"/>
    <w:bookmarkEnd w:id="13"/>
    <w:p>
      <w:pPr>
        <w:spacing w:line="588" w:lineRule="exact"/>
        <w:rPr>
          <w:rFonts w:ascii="仿宋_GB2312" w:eastAsia="仿宋_GB2312"/>
          <w:b/>
          <w:spacing w:val="6"/>
          <w:sz w:val="30"/>
          <w:szCs w:val="30"/>
        </w:rPr>
      </w:pPr>
    </w:p>
    <w:p>
      <w:pPr>
        <w:spacing w:line="588" w:lineRule="exact"/>
        <w:ind w:firstLine="560" w:firstLineChars="200"/>
        <w:rPr>
          <w:rFonts w:ascii="仿宋_GB2312" w:eastAsia="仿宋_GB2312"/>
          <w:spacing w:val="6"/>
          <w:sz w:val="28"/>
          <w:szCs w:val="28"/>
        </w:rPr>
      </w:pPr>
      <w:r>
        <w:rPr>
          <w:rFonts w:ascii="仿宋_GB2312" w:eastAsia="仿宋_GB2312" w:hint="eastAsia"/>
          <w:spacing w:val="6"/>
          <w:sz w:val="28"/>
          <w:szCs w:val="28"/>
        </w:rPr>
        <w:t>本单位郑重声明，根据《财政部 民政部 中国残疾人联合会关于促进残疾人就业政府采购政策的通知》（财库</w:t>
      </w:r>
      <w:r>
        <w:rPr>
          <w:rFonts w:ascii="仿宋_GB2312" w:eastAsia="仿宋_GB2312" w:hint="eastAsia"/>
          <w:sz w:val="28"/>
          <w:szCs w:val="28"/>
        </w:rPr>
        <w:t>〔2017〕141</w:t>
      </w:r>
      <w:r>
        <w:rPr>
          <w:rFonts w:ascii="仿宋_GB2312" w:eastAsia="仿宋_GB2312" w:hint="eastAsia"/>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仿宋_GB2312" w:eastAsia="仿宋_GB2312"/>
          <w:spacing w:val="6"/>
          <w:sz w:val="28"/>
          <w:szCs w:val="28"/>
        </w:rPr>
      </w:pPr>
      <w:r>
        <w:rPr>
          <w:rFonts w:ascii="仿宋_GB2312" w:eastAsia="仿宋_GB2312" w:hint="eastAsia"/>
          <w:spacing w:val="6"/>
          <w:sz w:val="28"/>
          <w:szCs w:val="28"/>
        </w:rPr>
        <w:t>本单位对上述声明的真实性负责。如有虚假，将依法承担相应责任。</w:t>
      </w:r>
    </w:p>
    <w:p>
      <w:pPr>
        <w:spacing w:line="588" w:lineRule="exact"/>
        <w:ind w:firstLine="560" w:firstLineChars="200"/>
        <w:rPr>
          <w:rFonts w:ascii="仿宋_GB2312" w:eastAsia="仿宋_GB2312"/>
          <w:spacing w:val="6"/>
          <w:sz w:val="28"/>
          <w:szCs w:val="28"/>
        </w:rPr>
      </w:pPr>
    </w:p>
    <w:p>
      <w:pPr>
        <w:spacing w:line="588" w:lineRule="exact"/>
        <w:ind w:firstLine="560" w:firstLineChars="200"/>
        <w:rPr>
          <w:rFonts w:ascii="仿宋_GB2312" w:eastAsia="仿宋_GB2312"/>
          <w:spacing w:val="6"/>
          <w:sz w:val="28"/>
          <w:szCs w:val="28"/>
        </w:rPr>
      </w:pPr>
    </w:p>
    <w:p>
      <w:pPr>
        <w:snapToGrid w:val="0"/>
        <w:spacing w:before="100" w:beforeAutospacing="1" w:after="100" w:afterAutospacing="1" w:line="700" w:lineRule="exact"/>
        <w:ind w:right="641"/>
        <w:rPr>
          <w:rFonts w:ascii="仿宋_GB2312" w:eastAsia="仿宋_GB2312"/>
          <w:sz w:val="28"/>
          <w:szCs w:val="28"/>
        </w:rPr>
      </w:pPr>
      <w:r>
        <w:rPr>
          <w:rFonts w:ascii="仿宋_GB2312" w:eastAsia="仿宋_GB2312" w:hint="eastAsia"/>
          <w:sz w:val="28"/>
          <w:szCs w:val="28"/>
        </w:rPr>
        <w:t>法定代表人（电子签名）：</w:t>
      </w:r>
    </w:p>
    <w:p>
      <w:pPr>
        <w:snapToGrid w:val="0"/>
        <w:spacing w:before="100" w:beforeAutospacing="1" w:after="100" w:afterAutospacing="1" w:line="700" w:lineRule="exact"/>
        <w:ind w:right="641"/>
        <w:rPr>
          <w:rFonts w:ascii="仿宋_GB2312" w:eastAsia="仿宋_GB2312" w:hint="eastAsia"/>
          <w:sz w:val="28"/>
          <w:szCs w:val="28"/>
        </w:rPr>
      </w:pPr>
      <w:r>
        <w:rPr>
          <w:rFonts w:ascii="仿宋_GB2312" w:eastAsia="仿宋_GB2312" w:hint="eastAsia"/>
          <w:sz w:val="28"/>
          <w:szCs w:val="28"/>
        </w:rPr>
        <w:t>供应商（电子签章）：</w:t>
      </w:r>
    </w:p>
    <w:p>
      <w:pPr>
        <w:snapToGrid w:val="0"/>
        <w:spacing w:before="100" w:beforeAutospacing="1" w:after="100" w:afterAutospacing="1" w:line="700" w:lineRule="exact"/>
        <w:ind w:right="641"/>
        <w:rPr>
          <w:rFonts w:ascii="仿宋_GB2312" w:eastAsia="仿宋_GB2312"/>
          <w:sz w:val="28"/>
          <w:szCs w:val="28"/>
        </w:rPr>
      </w:pPr>
      <w:r>
        <w:rPr>
          <w:rFonts w:ascii="仿宋_GB2312" w:eastAsia="仿宋_GB2312" w:hint="eastAsia"/>
          <w:sz w:val="28"/>
          <w:szCs w:val="28"/>
        </w:rPr>
        <w:t>日期：</w:t>
      </w:r>
    </w:p>
    <w:p>
      <w:pPr>
        <w:pageBreakBefore/>
        <w:numPr>
          <w:ilvl w:val="0"/>
          <w:numId w:val="8"/>
        </w:numPr>
        <w:spacing w:line="752" w:lineRule="atLeast"/>
        <w:ind w:left="425" w:hanging="425" w:leftChars="0" w:firstLineChars="0"/>
        <w:jc w:val="center"/>
        <w:outlineLvl w:val="0"/>
        <w:rPr>
          <w:rFonts w:ascii="宋体" w:hAnsi="宋体" w:hint="eastAsia"/>
          <w:b/>
          <w:sz w:val="44"/>
          <w:lang w:val="en-US" w:eastAsia="zh-CN"/>
        </w:rPr>
      </w:pPr>
      <w:r>
        <w:rPr>
          <w:rFonts w:ascii="宋体" w:hAnsi="宋体" w:hint="eastAsia"/>
          <w:b/>
          <w:sz w:val="44"/>
          <w:lang w:val="en-US" w:eastAsia="zh-CN"/>
        </w:rPr>
        <w:t>其他证明材料（如需要）</w:t>
      </w:r>
    </w:p>
    <w:p>
      <w:pPr>
        <w:spacing w:line="500" w:lineRule="exact"/>
        <w:ind w:firstLine="382" w:firstLineChars="182"/>
        <w:rPr>
          <w:rFonts w:ascii="仿宋_GB2312" w:eastAsia="仿宋_GB2312"/>
        </w:rPr>
      </w:pPr>
    </w:p>
    <w:p>
      <w:pPr>
        <w:spacing w:line="500" w:lineRule="exact"/>
        <w:ind w:firstLine="382" w:firstLineChars="182"/>
        <w:rPr>
          <w:rFonts w:ascii="仿宋_GB2312" w:eastAsia="仿宋_GB2312"/>
        </w:rPr>
      </w:pPr>
    </w:p>
    <w:p>
      <w:pPr>
        <w:spacing w:line="500" w:lineRule="exact"/>
        <w:ind w:firstLine="510" w:firstLineChars="182"/>
        <w:rPr>
          <w:rFonts w:ascii="仿宋_GB2312" w:eastAsia="仿宋_GB2312"/>
        </w:rPr>
      </w:pPr>
      <w:r>
        <w:rPr>
          <w:rFonts w:ascii="仿宋_GB2312" w:eastAsia="仿宋_GB2312" w:hint="eastAsia"/>
          <w:sz w:val="28"/>
          <w:szCs w:val="28"/>
        </w:rPr>
        <w:t>（按采购文件要求提供的其他证明材料或供应商认为有必要提供的其他证明材料，加盖法定代表人的电子签名和单位电子签章，）</w:t>
      </w:r>
    </w:p>
    <w:sectPr>
      <w:pgSz w:w="11906" w:h="16838"/>
      <w:pgMar w:top="1418" w:right="1134" w:bottom="1134" w:left="1418" w:header="964" w:footer="851" w:gutter="0"/>
      <w:pgNumType w:fmt="decimal"/>
      <w:cols w:num="1" w:space="720"/>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left" w:pos="7570"/>
      </w:tabs>
      <w:spacing w:line="227" w:lineRule="auto"/>
      <w:ind w:left="7456"/>
      <w:rPr>
        <w:rFonts w:ascii="宋体" w:hAnsi="宋体" w:cs="宋体"/>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left" w:pos="4913"/>
        <w:tab w:val="left" w:pos="7570"/>
      </w:tabs>
      <w:spacing w:line="227" w:lineRule="auto"/>
      <w:ind w:left="7456"/>
      <w:rPr>
        <w:rFonts w:ascii="宋体" w:hAnsi="宋体" w:cs="宋体"/>
        <w:sz w:val="20"/>
      </w:rPr>
    </w:pPr>
    <w:r>
      <w:rPr>
        <w:rFonts w:ascii="宋体" w:hAnsi="宋体" w:cs="宋体" w:hint="eastAsia"/>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Style w:val="PageNumber"/>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pPr>
      <w:pStyle w:val="Footer"/>
      <w:rPr>
        <w:sz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C6EF3D0"/>
    <w:multiLevelType w:val="singleLevel"/>
    <w:tmpl w:val="BC6EF3D0"/>
    <w:lvl w:ilvl="0">
      <w:start w:val="1"/>
      <w:numFmt w:val="decimal"/>
      <w:lvlText w:val="%1."/>
      <w:lvlJc w:val="left"/>
      <w:pPr>
        <w:ind w:left="425" w:hanging="425"/>
      </w:pPr>
      <w:rPr>
        <w:rFonts w:hint="default"/>
      </w:rPr>
    </w:lvl>
  </w:abstractNum>
  <w:abstractNum w:abstractNumId="1">
    <w:nsid w:val="BF02FBFD"/>
    <w:multiLevelType w:val="singleLevel"/>
    <w:tmpl w:val="BF02FBFD"/>
    <w:lvl w:ilvl="0">
      <w:start w:val="1"/>
      <w:numFmt w:val="chineseCounting"/>
      <w:suff w:val="space"/>
      <w:lvlText w:val="第%1部分"/>
      <w:lvlJc w:val="left"/>
      <w:rPr>
        <w:rFonts w:hint="eastAsia"/>
      </w:rPr>
    </w:lvl>
  </w:abstractNum>
  <w:abstractNum w:abstractNumId="2">
    <w:nsid w:val="DC0DFC77"/>
    <w:multiLevelType w:val="singleLevel"/>
    <w:tmpl w:val="DC0DFC77"/>
    <w:lvl w:ilvl="0">
      <w:start w:val="1"/>
      <w:numFmt w:val="decimal"/>
      <w:lvlText w:val="%1."/>
      <w:lvlJc w:val="left"/>
      <w:pPr>
        <w:ind w:left="425" w:hanging="425"/>
      </w:pPr>
      <w:rPr>
        <w:rFonts w:hint="default"/>
      </w:rPr>
    </w:lvl>
  </w:abstractNum>
  <w:abstractNum w:abstractNumId="3">
    <w:nsid w:val="DD5C065D"/>
    <w:multiLevelType w:val="singleLevel"/>
    <w:tmpl w:val="DD5C065D"/>
    <w:lvl w:ilvl="0">
      <w:start w:val="1"/>
      <w:numFmt w:val="decimal"/>
      <w:lvlText w:val="%1."/>
      <w:lvlJc w:val="left"/>
      <w:pPr>
        <w:ind w:left="425" w:hanging="425"/>
      </w:pPr>
      <w:rPr>
        <w:rFonts w:hint="default"/>
      </w:rPr>
    </w:lvl>
  </w:abstractNum>
  <w:abstractNum w:abstractNumId="4">
    <w:nsid w:val="2841E370"/>
    <w:multiLevelType w:val="singleLevel"/>
    <w:tmpl w:val="2841E370"/>
    <w:lvl w:ilvl="0">
      <w:start w:val="1"/>
      <w:numFmt w:val="decimal"/>
      <w:lvlText w:val="%1."/>
      <w:lvlJc w:val="left"/>
      <w:pPr>
        <w:ind w:left="425" w:hanging="425"/>
      </w:pPr>
      <w:rPr>
        <w:rFonts w:hint="default"/>
      </w:rPr>
    </w:lvl>
  </w:abstractNum>
  <w:abstractNum w:abstractNumId="5">
    <w:nsid w:val="4C059872"/>
    <w:multiLevelType w:val="singleLevel"/>
    <w:tmpl w:val="4C059872"/>
    <w:lvl w:ilvl="0">
      <w:start w:val="1"/>
      <w:numFmt w:val="decimal"/>
      <w:lvlText w:val="%1."/>
      <w:lvlJc w:val="left"/>
      <w:pPr>
        <w:ind w:left="425" w:hanging="425"/>
      </w:pPr>
      <w:rPr>
        <w:rFonts w:hint="default"/>
      </w:rPr>
    </w:lvl>
  </w:abstractNum>
  <w:abstractNum w:abstractNumId="6">
    <w:nsid w:val="5BC0AD2E"/>
    <w:multiLevelType w:val="singleLevel"/>
    <w:tmpl w:val="5BC0AD2E"/>
    <w:lvl w:ilvl="0">
      <w:start w:val="1"/>
      <w:numFmt w:val="chineseCounting"/>
      <w:suff w:val="nothing"/>
      <w:lvlText w:val="%1、"/>
      <w:lvlJc w:val="left"/>
      <w:rPr>
        <w:rFonts w:hint="eastAsia"/>
      </w:rPr>
    </w:lvl>
  </w:abstractNum>
  <w:abstractNum w:abstractNumId="7">
    <w:nsid w:val="70C83012"/>
    <w:multiLevelType w:val="singleLevel"/>
    <w:tmpl w:val="70C83012"/>
    <w:lvl w:ilvl="0">
      <w:start w:val="1"/>
      <w:numFmt w:val="decimal"/>
      <w:lvlText w:val="%1."/>
      <w:lvlJc w:val="left"/>
      <w:pPr>
        <w:ind w:left="425" w:hanging="425"/>
      </w:pPr>
      <w:rPr>
        <w:rFonts w:hint="default"/>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doNotShadeFormData/>
  <w:noPunctuationKerning/>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65"/>
    <w:rsid w:val="00010784"/>
    <w:rsid w:val="000121C9"/>
    <w:rsid w:val="00013495"/>
    <w:rsid w:val="00016F04"/>
    <w:rsid w:val="0002179F"/>
    <w:rsid w:val="00023EA2"/>
    <w:rsid w:val="00024E69"/>
    <w:rsid w:val="0002508E"/>
    <w:rsid w:val="000301E7"/>
    <w:rsid w:val="00030AE2"/>
    <w:rsid w:val="00031DAD"/>
    <w:rsid w:val="00031F3D"/>
    <w:rsid w:val="00033841"/>
    <w:rsid w:val="0003405E"/>
    <w:rsid w:val="00035BB1"/>
    <w:rsid w:val="00035CAB"/>
    <w:rsid w:val="00037777"/>
    <w:rsid w:val="00037C90"/>
    <w:rsid w:val="00040B32"/>
    <w:rsid w:val="00040E11"/>
    <w:rsid w:val="000418AC"/>
    <w:rsid w:val="00045393"/>
    <w:rsid w:val="000476E6"/>
    <w:rsid w:val="00050603"/>
    <w:rsid w:val="00050961"/>
    <w:rsid w:val="000539C6"/>
    <w:rsid w:val="000550F4"/>
    <w:rsid w:val="00060D83"/>
    <w:rsid w:val="0006114F"/>
    <w:rsid w:val="000618DA"/>
    <w:rsid w:val="00061E74"/>
    <w:rsid w:val="000666B0"/>
    <w:rsid w:val="00067785"/>
    <w:rsid w:val="00071BA1"/>
    <w:rsid w:val="00072E82"/>
    <w:rsid w:val="0007583B"/>
    <w:rsid w:val="000823DE"/>
    <w:rsid w:val="0008613F"/>
    <w:rsid w:val="00086EB6"/>
    <w:rsid w:val="0008730A"/>
    <w:rsid w:val="00087827"/>
    <w:rsid w:val="000907F0"/>
    <w:rsid w:val="00093E64"/>
    <w:rsid w:val="0009499F"/>
    <w:rsid w:val="00095F15"/>
    <w:rsid w:val="000A05BE"/>
    <w:rsid w:val="000A786F"/>
    <w:rsid w:val="000B122D"/>
    <w:rsid w:val="000B17F0"/>
    <w:rsid w:val="000B3B39"/>
    <w:rsid w:val="000B3B9C"/>
    <w:rsid w:val="000B4BBD"/>
    <w:rsid w:val="000B57EA"/>
    <w:rsid w:val="000B7D39"/>
    <w:rsid w:val="000B7F8A"/>
    <w:rsid w:val="000C0697"/>
    <w:rsid w:val="000C1203"/>
    <w:rsid w:val="000C15D3"/>
    <w:rsid w:val="000C201B"/>
    <w:rsid w:val="000C2C6D"/>
    <w:rsid w:val="000C3A0F"/>
    <w:rsid w:val="000C3E80"/>
    <w:rsid w:val="000C5618"/>
    <w:rsid w:val="000C6E8A"/>
    <w:rsid w:val="000C7251"/>
    <w:rsid w:val="000D0A15"/>
    <w:rsid w:val="000D1B2E"/>
    <w:rsid w:val="000D1E1F"/>
    <w:rsid w:val="000D3511"/>
    <w:rsid w:val="000D3C1E"/>
    <w:rsid w:val="000D448B"/>
    <w:rsid w:val="000D5B6E"/>
    <w:rsid w:val="000E009B"/>
    <w:rsid w:val="000E26F8"/>
    <w:rsid w:val="000E428C"/>
    <w:rsid w:val="000E48D2"/>
    <w:rsid w:val="000E4E19"/>
    <w:rsid w:val="000E6C3D"/>
    <w:rsid w:val="000F1F2C"/>
    <w:rsid w:val="000F3509"/>
    <w:rsid w:val="000F7675"/>
    <w:rsid w:val="0010010D"/>
    <w:rsid w:val="001032D7"/>
    <w:rsid w:val="001038F0"/>
    <w:rsid w:val="00104E63"/>
    <w:rsid w:val="0010501C"/>
    <w:rsid w:val="00105DDA"/>
    <w:rsid w:val="00113F86"/>
    <w:rsid w:val="00114215"/>
    <w:rsid w:val="001204EB"/>
    <w:rsid w:val="00121259"/>
    <w:rsid w:val="00121EA4"/>
    <w:rsid w:val="001227BB"/>
    <w:rsid w:val="00123CEE"/>
    <w:rsid w:val="00125290"/>
    <w:rsid w:val="0012665E"/>
    <w:rsid w:val="001270B9"/>
    <w:rsid w:val="001315D9"/>
    <w:rsid w:val="0013386F"/>
    <w:rsid w:val="00133C87"/>
    <w:rsid w:val="00137B4E"/>
    <w:rsid w:val="001401F9"/>
    <w:rsid w:val="001404B5"/>
    <w:rsid w:val="00140FB4"/>
    <w:rsid w:val="00142482"/>
    <w:rsid w:val="00142749"/>
    <w:rsid w:val="00142E7F"/>
    <w:rsid w:val="001433AA"/>
    <w:rsid w:val="001458F5"/>
    <w:rsid w:val="00146179"/>
    <w:rsid w:val="00150188"/>
    <w:rsid w:val="0015295D"/>
    <w:rsid w:val="0015728B"/>
    <w:rsid w:val="00157C3F"/>
    <w:rsid w:val="001630D5"/>
    <w:rsid w:val="00165FDA"/>
    <w:rsid w:val="001670BC"/>
    <w:rsid w:val="001671E1"/>
    <w:rsid w:val="00170D85"/>
    <w:rsid w:val="00171073"/>
    <w:rsid w:val="00172A27"/>
    <w:rsid w:val="00174D89"/>
    <w:rsid w:val="0018255E"/>
    <w:rsid w:val="00184A69"/>
    <w:rsid w:val="00187E6C"/>
    <w:rsid w:val="00191667"/>
    <w:rsid w:val="00192C59"/>
    <w:rsid w:val="00193D0F"/>
    <w:rsid w:val="0019632F"/>
    <w:rsid w:val="00197BD4"/>
    <w:rsid w:val="001A038B"/>
    <w:rsid w:val="001A04D2"/>
    <w:rsid w:val="001A0E57"/>
    <w:rsid w:val="001A3DDD"/>
    <w:rsid w:val="001B0CBB"/>
    <w:rsid w:val="001B12FD"/>
    <w:rsid w:val="001B192A"/>
    <w:rsid w:val="001B2E74"/>
    <w:rsid w:val="001B3383"/>
    <w:rsid w:val="001B493F"/>
    <w:rsid w:val="001B65FE"/>
    <w:rsid w:val="001C03D7"/>
    <w:rsid w:val="001C15F6"/>
    <w:rsid w:val="001C17FD"/>
    <w:rsid w:val="001C1D7D"/>
    <w:rsid w:val="001C45BE"/>
    <w:rsid w:val="001D0754"/>
    <w:rsid w:val="001D318A"/>
    <w:rsid w:val="001D33CC"/>
    <w:rsid w:val="001D40FC"/>
    <w:rsid w:val="001D43CC"/>
    <w:rsid w:val="001D65D0"/>
    <w:rsid w:val="001D79F5"/>
    <w:rsid w:val="001E21CB"/>
    <w:rsid w:val="001E25E6"/>
    <w:rsid w:val="001E3A1E"/>
    <w:rsid w:val="001E3ABE"/>
    <w:rsid w:val="001E4993"/>
    <w:rsid w:val="001E72BF"/>
    <w:rsid w:val="001E7526"/>
    <w:rsid w:val="001F3414"/>
    <w:rsid w:val="001F4ABC"/>
    <w:rsid w:val="001F5A8A"/>
    <w:rsid w:val="001F705B"/>
    <w:rsid w:val="002006B7"/>
    <w:rsid w:val="00202B6A"/>
    <w:rsid w:val="002039BD"/>
    <w:rsid w:val="00203D56"/>
    <w:rsid w:val="00207727"/>
    <w:rsid w:val="00211327"/>
    <w:rsid w:val="002210E2"/>
    <w:rsid w:val="0022263C"/>
    <w:rsid w:val="002230B6"/>
    <w:rsid w:val="002236F7"/>
    <w:rsid w:val="0022374F"/>
    <w:rsid w:val="002259AD"/>
    <w:rsid w:val="00230861"/>
    <w:rsid w:val="00231199"/>
    <w:rsid w:val="002330FF"/>
    <w:rsid w:val="002361DE"/>
    <w:rsid w:val="00240B39"/>
    <w:rsid w:val="0024151D"/>
    <w:rsid w:val="002419DE"/>
    <w:rsid w:val="00241E54"/>
    <w:rsid w:val="00241EAF"/>
    <w:rsid w:val="00244658"/>
    <w:rsid w:val="002454B7"/>
    <w:rsid w:val="002474B6"/>
    <w:rsid w:val="00247F55"/>
    <w:rsid w:val="00250272"/>
    <w:rsid w:val="00250EE7"/>
    <w:rsid w:val="00251416"/>
    <w:rsid w:val="002549D5"/>
    <w:rsid w:val="00255C0A"/>
    <w:rsid w:val="00256365"/>
    <w:rsid w:val="00256BF6"/>
    <w:rsid w:val="00257735"/>
    <w:rsid w:val="002619F9"/>
    <w:rsid w:val="0026243A"/>
    <w:rsid w:val="002641FC"/>
    <w:rsid w:val="00264365"/>
    <w:rsid w:val="00265E5E"/>
    <w:rsid w:val="002667D2"/>
    <w:rsid w:val="0027190A"/>
    <w:rsid w:val="00271C37"/>
    <w:rsid w:val="0027643C"/>
    <w:rsid w:val="002767AA"/>
    <w:rsid w:val="002779CC"/>
    <w:rsid w:val="002818CE"/>
    <w:rsid w:val="00284FA7"/>
    <w:rsid w:val="002867BE"/>
    <w:rsid w:val="00287576"/>
    <w:rsid w:val="0029268F"/>
    <w:rsid w:val="00293675"/>
    <w:rsid w:val="002937DE"/>
    <w:rsid w:val="002943EE"/>
    <w:rsid w:val="00294751"/>
    <w:rsid w:val="0029515B"/>
    <w:rsid w:val="00297221"/>
    <w:rsid w:val="002974FA"/>
    <w:rsid w:val="00297DD6"/>
    <w:rsid w:val="002A27EA"/>
    <w:rsid w:val="002A4BA0"/>
    <w:rsid w:val="002A51D0"/>
    <w:rsid w:val="002B0FA4"/>
    <w:rsid w:val="002B3DA0"/>
    <w:rsid w:val="002B7D5A"/>
    <w:rsid w:val="002C4B6C"/>
    <w:rsid w:val="002C564C"/>
    <w:rsid w:val="002C6B9F"/>
    <w:rsid w:val="002D279D"/>
    <w:rsid w:val="002D4BED"/>
    <w:rsid w:val="002D6B98"/>
    <w:rsid w:val="002E0395"/>
    <w:rsid w:val="002E3154"/>
    <w:rsid w:val="002E4BB5"/>
    <w:rsid w:val="002E654A"/>
    <w:rsid w:val="002E6CD8"/>
    <w:rsid w:val="002E6F79"/>
    <w:rsid w:val="002F0619"/>
    <w:rsid w:val="002F2359"/>
    <w:rsid w:val="002F3F26"/>
    <w:rsid w:val="002F4A66"/>
    <w:rsid w:val="002F4B4A"/>
    <w:rsid w:val="002F560E"/>
    <w:rsid w:val="002F689D"/>
    <w:rsid w:val="002F7A34"/>
    <w:rsid w:val="00301713"/>
    <w:rsid w:val="00301992"/>
    <w:rsid w:val="0030272F"/>
    <w:rsid w:val="00304151"/>
    <w:rsid w:val="00304190"/>
    <w:rsid w:val="00305566"/>
    <w:rsid w:val="00305912"/>
    <w:rsid w:val="00305D9E"/>
    <w:rsid w:val="00307BD0"/>
    <w:rsid w:val="00311EBB"/>
    <w:rsid w:val="003140ED"/>
    <w:rsid w:val="00315662"/>
    <w:rsid w:val="00315AC8"/>
    <w:rsid w:val="0032020F"/>
    <w:rsid w:val="0032108C"/>
    <w:rsid w:val="003216BB"/>
    <w:rsid w:val="00321C15"/>
    <w:rsid w:val="00323AE0"/>
    <w:rsid w:val="00324D70"/>
    <w:rsid w:val="003266FF"/>
    <w:rsid w:val="00326C8E"/>
    <w:rsid w:val="00327A93"/>
    <w:rsid w:val="003313D6"/>
    <w:rsid w:val="00331F15"/>
    <w:rsid w:val="00333A47"/>
    <w:rsid w:val="00340E86"/>
    <w:rsid w:val="00344F69"/>
    <w:rsid w:val="003502F0"/>
    <w:rsid w:val="0035326B"/>
    <w:rsid w:val="003533F0"/>
    <w:rsid w:val="00353949"/>
    <w:rsid w:val="0035483A"/>
    <w:rsid w:val="00355319"/>
    <w:rsid w:val="00355D65"/>
    <w:rsid w:val="00362420"/>
    <w:rsid w:val="00364C26"/>
    <w:rsid w:val="00364E35"/>
    <w:rsid w:val="003664DB"/>
    <w:rsid w:val="00367486"/>
    <w:rsid w:val="00370315"/>
    <w:rsid w:val="00370F0C"/>
    <w:rsid w:val="00372AB2"/>
    <w:rsid w:val="00372ABD"/>
    <w:rsid w:val="0037745D"/>
    <w:rsid w:val="0038185F"/>
    <w:rsid w:val="00387182"/>
    <w:rsid w:val="0039127C"/>
    <w:rsid w:val="00392096"/>
    <w:rsid w:val="00393121"/>
    <w:rsid w:val="00393A17"/>
    <w:rsid w:val="00393E5C"/>
    <w:rsid w:val="0039702E"/>
    <w:rsid w:val="003976B3"/>
    <w:rsid w:val="003A0CBB"/>
    <w:rsid w:val="003A1A6B"/>
    <w:rsid w:val="003A22D5"/>
    <w:rsid w:val="003B09B9"/>
    <w:rsid w:val="003B0EF1"/>
    <w:rsid w:val="003B1C90"/>
    <w:rsid w:val="003B3C92"/>
    <w:rsid w:val="003B44B7"/>
    <w:rsid w:val="003B64A1"/>
    <w:rsid w:val="003B6A5F"/>
    <w:rsid w:val="003C06EF"/>
    <w:rsid w:val="003C3524"/>
    <w:rsid w:val="003C378A"/>
    <w:rsid w:val="003C4A66"/>
    <w:rsid w:val="003C4B47"/>
    <w:rsid w:val="003C7866"/>
    <w:rsid w:val="003D14D9"/>
    <w:rsid w:val="003D21BD"/>
    <w:rsid w:val="003D3D81"/>
    <w:rsid w:val="003D6F6D"/>
    <w:rsid w:val="003E068E"/>
    <w:rsid w:val="003E2A88"/>
    <w:rsid w:val="003E46AD"/>
    <w:rsid w:val="003E58FD"/>
    <w:rsid w:val="003E5A00"/>
    <w:rsid w:val="003E6781"/>
    <w:rsid w:val="003E7EC4"/>
    <w:rsid w:val="003F1F81"/>
    <w:rsid w:val="003F220B"/>
    <w:rsid w:val="003F36FB"/>
    <w:rsid w:val="003F5DAF"/>
    <w:rsid w:val="003F7F66"/>
    <w:rsid w:val="004004FD"/>
    <w:rsid w:val="004046EF"/>
    <w:rsid w:val="00406690"/>
    <w:rsid w:val="004067B4"/>
    <w:rsid w:val="00406FA5"/>
    <w:rsid w:val="004106A0"/>
    <w:rsid w:val="00410884"/>
    <w:rsid w:val="00413A29"/>
    <w:rsid w:val="00413E2F"/>
    <w:rsid w:val="00415301"/>
    <w:rsid w:val="004179A6"/>
    <w:rsid w:val="00417B49"/>
    <w:rsid w:val="00417DE0"/>
    <w:rsid w:val="00420C96"/>
    <w:rsid w:val="00427645"/>
    <w:rsid w:val="004353CB"/>
    <w:rsid w:val="00436877"/>
    <w:rsid w:val="00437267"/>
    <w:rsid w:val="00442514"/>
    <w:rsid w:val="0044551A"/>
    <w:rsid w:val="00445544"/>
    <w:rsid w:val="00445BBC"/>
    <w:rsid w:val="00446BD6"/>
    <w:rsid w:val="00447486"/>
    <w:rsid w:val="00454638"/>
    <w:rsid w:val="00455860"/>
    <w:rsid w:val="00461917"/>
    <w:rsid w:val="00461CAF"/>
    <w:rsid w:val="00463F68"/>
    <w:rsid w:val="00464121"/>
    <w:rsid w:val="00465DAF"/>
    <w:rsid w:val="00471FC6"/>
    <w:rsid w:val="004727ED"/>
    <w:rsid w:val="00474536"/>
    <w:rsid w:val="00474DA1"/>
    <w:rsid w:val="00475D74"/>
    <w:rsid w:val="004760C9"/>
    <w:rsid w:val="00477231"/>
    <w:rsid w:val="00482475"/>
    <w:rsid w:val="00486279"/>
    <w:rsid w:val="004903E5"/>
    <w:rsid w:val="00490C20"/>
    <w:rsid w:val="00491CC2"/>
    <w:rsid w:val="0049252D"/>
    <w:rsid w:val="004965BF"/>
    <w:rsid w:val="00496E4C"/>
    <w:rsid w:val="0049798D"/>
    <w:rsid w:val="004A1F84"/>
    <w:rsid w:val="004A39AE"/>
    <w:rsid w:val="004A5F94"/>
    <w:rsid w:val="004B09AF"/>
    <w:rsid w:val="004B356E"/>
    <w:rsid w:val="004B65B6"/>
    <w:rsid w:val="004C5D03"/>
    <w:rsid w:val="004C6104"/>
    <w:rsid w:val="004C6E2D"/>
    <w:rsid w:val="004C74C2"/>
    <w:rsid w:val="004D00E5"/>
    <w:rsid w:val="004D3836"/>
    <w:rsid w:val="004D3C8B"/>
    <w:rsid w:val="004E2467"/>
    <w:rsid w:val="004E6E0A"/>
    <w:rsid w:val="004E7481"/>
    <w:rsid w:val="004F08BD"/>
    <w:rsid w:val="004F0A0B"/>
    <w:rsid w:val="004F11F7"/>
    <w:rsid w:val="004F25DD"/>
    <w:rsid w:val="004F2939"/>
    <w:rsid w:val="004F2D4D"/>
    <w:rsid w:val="004F2EDA"/>
    <w:rsid w:val="004F2FC0"/>
    <w:rsid w:val="004F4F00"/>
    <w:rsid w:val="004F5968"/>
    <w:rsid w:val="00500213"/>
    <w:rsid w:val="0050077C"/>
    <w:rsid w:val="00502143"/>
    <w:rsid w:val="00503750"/>
    <w:rsid w:val="005055ED"/>
    <w:rsid w:val="005069FD"/>
    <w:rsid w:val="005102C2"/>
    <w:rsid w:val="0051213B"/>
    <w:rsid w:val="00514658"/>
    <w:rsid w:val="00520D1B"/>
    <w:rsid w:val="00521EBD"/>
    <w:rsid w:val="00531DA0"/>
    <w:rsid w:val="00533D74"/>
    <w:rsid w:val="00536A53"/>
    <w:rsid w:val="0053745C"/>
    <w:rsid w:val="005411A9"/>
    <w:rsid w:val="00543625"/>
    <w:rsid w:val="005437AC"/>
    <w:rsid w:val="005441B7"/>
    <w:rsid w:val="0054741F"/>
    <w:rsid w:val="005475FA"/>
    <w:rsid w:val="00547FCE"/>
    <w:rsid w:val="005501E9"/>
    <w:rsid w:val="0055138F"/>
    <w:rsid w:val="00556B10"/>
    <w:rsid w:val="005622FA"/>
    <w:rsid w:val="00564428"/>
    <w:rsid w:val="00570080"/>
    <w:rsid w:val="00571241"/>
    <w:rsid w:val="00573E9A"/>
    <w:rsid w:val="00577F9A"/>
    <w:rsid w:val="00581D2B"/>
    <w:rsid w:val="005837FB"/>
    <w:rsid w:val="005839AC"/>
    <w:rsid w:val="00584A45"/>
    <w:rsid w:val="0058710A"/>
    <w:rsid w:val="00587E3D"/>
    <w:rsid w:val="005905B8"/>
    <w:rsid w:val="00590600"/>
    <w:rsid w:val="0059184E"/>
    <w:rsid w:val="00591BCD"/>
    <w:rsid w:val="00592169"/>
    <w:rsid w:val="00593049"/>
    <w:rsid w:val="00593692"/>
    <w:rsid w:val="00593B51"/>
    <w:rsid w:val="005950ED"/>
    <w:rsid w:val="0059798B"/>
    <w:rsid w:val="00597A31"/>
    <w:rsid w:val="005A1DAF"/>
    <w:rsid w:val="005A435F"/>
    <w:rsid w:val="005A4F2D"/>
    <w:rsid w:val="005A7A10"/>
    <w:rsid w:val="005B0DFC"/>
    <w:rsid w:val="005B2369"/>
    <w:rsid w:val="005B2BD2"/>
    <w:rsid w:val="005B4350"/>
    <w:rsid w:val="005B7160"/>
    <w:rsid w:val="005B7414"/>
    <w:rsid w:val="005C082A"/>
    <w:rsid w:val="005C0FC3"/>
    <w:rsid w:val="005C1EBB"/>
    <w:rsid w:val="005C31DF"/>
    <w:rsid w:val="005C486E"/>
    <w:rsid w:val="005C4C11"/>
    <w:rsid w:val="005C4E9E"/>
    <w:rsid w:val="005C558E"/>
    <w:rsid w:val="005C591B"/>
    <w:rsid w:val="005C697D"/>
    <w:rsid w:val="005D2BD1"/>
    <w:rsid w:val="005D33BA"/>
    <w:rsid w:val="005D3E54"/>
    <w:rsid w:val="005D545F"/>
    <w:rsid w:val="005E0ACE"/>
    <w:rsid w:val="005E229E"/>
    <w:rsid w:val="005E29BC"/>
    <w:rsid w:val="005E3A1B"/>
    <w:rsid w:val="005E3CB3"/>
    <w:rsid w:val="005E46C2"/>
    <w:rsid w:val="005E5610"/>
    <w:rsid w:val="005F28D9"/>
    <w:rsid w:val="005F4837"/>
    <w:rsid w:val="005F4B95"/>
    <w:rsid w:val="005F67E7"/>
    <w:rsid w:val="005F7EEB"/>
    <w:rsid w:val="0060098B"/>
    <w:rsid w:val="00600E3E"/>
    <w:rsid w:val="00604738"/>
    <w:rsid w:val="0060699B"/>
    <w:rsid w:val="00606DD5"/>
    <w:rsid w:val="00610397"/>
    <w:rsid w:val="006118CF"/>
    <w:rsid w:val="006169CE"/>
    <w:rsid w:val="00623D00"/>
    <w:rsid w:val="006254AB"/>
    <w:rsid w:val="00631776"/>
    <w:rsid w:val="00633D02"/>
    <w:rsid w:val="006415CA"/>
    <w:rsid w:val="00641CE1"/>
    <w:rsid w:val="00643C4E"/>
    <w:rsid w:val="00644775"/>
    <w:rsid w:val="00645722"/>
    <w:rsid w:val="006515EF"/>
    <w:rsid w:val="00652916"/>
    <w:rsid w:val="00654ECC"/>
    <w:rsid w:val="00656715"/>
    <w:rsid w:val="006571DF"/>
    <w:rsid w:val="00657D0C"/>
    <w:rsid w:val="00664633"/>
    <w:rsid w:val="0066464C"/>
    <w:rsid w:val="00665C96"/>
    <w:rsid w:val="006674E7"/>
    <w:rsid w:val="006714AC"/>
    <w:rsid w:val="00673E7B"/>
    <w:rsid w:val="00677F9D"/>
    <w:rsid w:val="00682C90"/>
    <w:rsid w:val="00683921"/>
    <w:rsid w:val="00687CEE"/>
    <w:rsid w:val="00692B3B"/>
    <w:rsid w:val="00693AC7"/>
    <w:rsid w:val="006945E9"/>
    <w:rsid w:val="00695E4A"/>
    <w:rsid w:val="006969B8"/>
    <w:rsid w:val="006978E6"/>
    <w:rsid w:val="006A089E"/>
    <w:rsid w:val="006A1676"/>
    <w:rsid w:val="006A2C3C"/>
    <w:rsid w:val="006A3B03"/>
    <w:rsid w:val="006A3B31"/>
    <w:rsid w:val="006A55BE"/>
    <w:rsid w:val="006A5D46"/>
    <w:rsid w:val="006A7D63"/>
    <w:rsid w:val="006D2225"/>
    <w:rsid w:val="006D5E1B"/>
    <w:rsid w:val="006D7A18"/>
    <w:rsid w:val="006D7E22"/>
    <w:rsid w:val="006E0737"/>
    <w:rsid w:val="006E1590"/>
    <w:rsid w:val="006E16AA"/>
    <w:rsid w:val="006E5A27"/>
    <w:rsid w:val="006E5FCD"/>
    <w:rsid w:val="006E719A"/>
    <w:rsid w:val="006F12EE"/>
    <w:rsid w:val="006F1B92"/>
    <w:rsid w:val="006F1B9D"/>
    <w:rsid w:val="006F544D"/>
    <w:rsid w:val="006F6C9E"/>
    <w:rsid w:val="00701D3A"/>
    <w:rsid w:val="0070340C"/>
    <w:rsid w:val="007038CA"/>
    <w:rsid w:val="00704014"/>
    <w:rsid w:val="007046FF"/>
    <w:rsid w:val="007103B6"/>
    <w:rsid w:val="00710427"/>
    <w:rsid w:val="0071354F"/>
    <w:rsid w:val="00715AED"/>
    <w:rsid w:val="0072671B"/>
    <w:rsid w:val="007302D1"/>
    <w:rsid w:val="00730397"/>
    <w:rsid w:val="00732109"/>
    <w:rsid w:val="007347A9"/>
    <w:rsid w:val="00735BD4"/>
    <w:rsid w:val="007370AE"/>
    <w:rsid w:val="00737ED0"/>
    <w:rsid w:val="00740E52"/>
    <w:rsid w:val="00743F26"/>
    <w:rsid w:val="00751038"/>
    <w:rsid w:val="007539BB"/>
    <w:rsid w:val="00760999"/>
    <w:rsid w:val="00760DD6"/>
    <w:rsid w:val="00762D6D"/>
    <w:rsid w:val="00764A7E"/>
    <w:rsid w:val="00764C59"/>
    <w:rsid w:val="00766D05"/>
    <w:rsid w:val="00771CDE"/>
    <w:rsid w:val="007768E6"/>
    <w:rsid w:val="00776ADA"/>
    <w:rsid w:val="00776C2E"/>
    <w:rsid w:val="007776DB"/>
    <w:rsid w:val="00777885"/>
    <w:rsid w:val="00777E29"/>
    <w:rsid w:val="00782647"/>
    <w:rsid w:val="00782FCE"/>
    <w:rsid w:val="0078332A"/>
    <w:rsid w:val="00786315"/>
    <w:rsid w:val="0079092C"/>
    <w:rsid w:val="007923B8"/>
    <w:rsid w:val="00794040"/>
    <w:rsid w:val="007943A8"/>
    <w:rsid w:val="00796B65"/>
    <w:rsid w:val="007B0AB8"/>
    <w:rsid w:val="007B2E6C"/>
    <w:rsid w:val="007B6CF0"/>
    <w:rsid w:val="007C54E2"/>
    <w:rsid w:val="007C5ECA"/>
    <w:rsid w:val="007C62CD"/>
    <w:rsid w:val="007C701F"/>
    <w:rsid w:val="007C70E1"/>
    <w:rsid w:val="007D1E41"/>
    <w:rsid w:val="007D262E"/>
    <w:rsid w:val="007D2E67"/>
    <w:rsid w:val="007D31C2"/>
    <w:rsid w:val="007D3771"/>
    <w:rsid w:val="007D4548"/>
    <w:rsid w:val="007D4806"/>
    <w:rsid w:val="007D55F3"/>
    <w:rsid w:val="007E0645"/>
    <w:rsid w:val="007E212C"/>
    <w:rsid w:val="007E2E96"/>
    <w:rsid w:val="007E35C2"/>
    <w:rsid w:val="007E4F65"/>
    <w:rsid w:val="007E65BD"/>
    <w:rsid w:val="007E696B"/>
    <w:rsid w:val="007E699C"/>
    <w:rsid w:val="007E7D6D"/>
    <w:rsid w:val="007F0233"/>
    <w:rsid w:val="007F46C7"/>
    <w:rsid w:val="007F559A"/>
    <w:rsid w:val="008004F6"/>
    <w:rsid w:val="008010F5"/>
    <w:rsid w:val="008012D1"/>
    <w:rsid w:val="00802A85"/>
    <w:rsid w:val="0081538F"/>
    <w:rsid w:val="00816A2B"/>
    <w:rsid w:val="00817801"/>
    <w:rsid w:val="0082111B"/>
    <w:rsid w:val="008278C6"/>
    <w:rsid w:val="008279F7"/>
    <w:rsid w:val="0083065E"/>
    <w:rsid w:val="00831CE9"/>
    <w:rsid w:val="00832CDB"/>
    <w:rsid w:val="00842EA1"/>
    <w:rsid w:val="00844D5D"/>
    <w:rsid w:val="008500F4"/>
    <w:rsid w:val="0085116A"/>
    <w:rsid w:val="00856E62"/>
    <w:rsid w:val="00860E65"/>
    <w:rsid w:val="008615E3"/>
    <w:rsid w:val="008628EE"/>
    <w:rsid w:val="00862F70"/>
    <w:rsid w:val="0086362A"/>
    <w:rsid w:val="00866382"/>
    <w:rsid w:val="00866776"/>
    <w:rsid w:val="00870810"/>
    <w:rsid w:val="0087433B"/>
    <w:rsid w:val="00875B64"/>
    <w:rsid w:val="008779A7"/>
    <w:rsid w:val="008801E7"/>
    <w:rsid w:val="0088239F"/>
    <w:rsid w:val="00882D5D"/>
    <w:rsid w:val="008864F4"/>
    <w:rsid w:val="008912B8"/>
    <w:rsid w:val="008938CD"/>
    <w:rsid w:val="00894235"/>
    <w:rsid w:val="008953CC"/>
    <w:rsid w:val="008A034C"/>
    <w:rsid w:val="008A4E26"/>
    <w:rsid w:val="008A6D77"/>
    <w:rsid w:val="008B2170"/>
    <w:rsid w:val="008B3898"/>
    <w:rsid w:val="008B44A0"/>
    <w:rsid w:val="008D07B9"/>
    <w:rsid w:val="008D12C4"/>
    <w:rsid w:val="008D51A3"/>
    <w:rsid w:val="008D67EF"/>
    <w:rsid w:val="008D6817"/>
    <w:rsid w:val="008D7CDF"/>
    <w:rsid w:val="008E59DE"/>
    <w:rsid w:val="008E6823"/>
    <w:rsid w:val="008E7B41"/>
    <w:rsid w:val="008F3193"/>
    <w:rsid w:val="008F3B66"/>
    <w:rsid w:val="008F46C8"/>
    <w:rsid w:val="008F48D2"/>
    <w:rsid w:val="008F6FDE"/>
    <w:rsid w:val="00900FA3"/>
    <w:rsid w:val="00901305"/>
    <w:rsid w:val="009038E3"/>
    <w:rsid w:val="00904AFB"/>
    <w:rsid w:val="00905A9E"/>
    <w:rsid w:val="00905C60"/>
    <w:rsid w:val="00906133"/>
    <w:rsid w:val="00906226"/>
    <w:rsid w:val="009064DD"/>
    <w:rsid w:val="0091064E"/>
    <w:rsid w:val="00911B5D"/>
    <w:rsid w:val="00911C5E"/>
    <w:rsid w:val="009147CE"/>
    <w:rsid w:val="00915C87"/>
    <w:rsid w:val="009167EB"/>
    <w:rsid w:val="0092174E"/>
    <w:rsid w:val="0092325A"/>
    <w:rsid w:val="00926DDC"/>
    <w:rsid w:val="00927DF0"/>
    <w:rsid w:val="0093237D"/>
    <w:rsid w:val="009325AD"/>
    <w:rsid w:val="00932F8E"/>
    <w:rsid w:val="00934513"/>
    <w:rsid w:val="0093687C"/>
    <w:rsid w:val="009419B1"/>
    <w:rsid w:val="009424EF"/>
    <w:rsid w:val="009472BD"/>
    <w:rsid w:val="00955F35"/>
    <w:rsid w:val="0095694C"/>
    <w:rsid w:val="00956EA6"/>
    <w:rsid w:val="00957E7E"/>
    <w:rsid w:val="00962C7B"/>
    <w:rsid w:val="00964323"/>
    <w:rsid w:val="00966B64"/>
    <w:rsid w:val="00966F99"/>
    <w:rsid w:val="00967FDE"/>
    <w:rsid w:val="00971AB3"/>
    <w:rsid w:val="00972A5F"/>
    <w:rsid w:val="00972E96"/>
    <w:rsid w:val="00976520"/>
    <w:rsid w:val="009766C7"/>
    <w:rsid w:val="009779B9"/>
    <w:rsid w:val="0098367D"/>
    <w:rsid w:val="009837E6"/>
    <w:rsid w:val="00984FD7"/>
    <w:rsid w:val="0098517C"/>
    <w:rsid w:val="009853AF"/>
    <w:rsid w:val="00986892"/>
    <w:rsid w:val="00986A52"/>
    <w:rsid w:val="00986C76"/>
    <w:rsid w:val="009900A9"/>
    <w:rsid w:val="00990359"/>
    <w:rsid w:val="009910F5"/>
    <w:rsid w:val="00992392"/>
    <w:rsid w:val="0099671F"/>
    <w:rsid w:val="00996D11"/>
    <w:rsid w:val="009A07FB"/>
    <w:rsid w:val="009A7F65"/>
    <w:rsid w:val="009B15BE"/>
    <w:rsid w:val="009B2155"/>
    <w:rsid w:val="009B2718"/>
    <w:rsid w:val="009B37C2"/>
    <w:rsid w:val="009B3B6C"/>
    <w:rsid w:val="009B40A4"/>
    <w:rsid w:val="009C0099"/>
    <w:rsid w:val="009C0178"/>
    <w:rsid w:val="009C3A3D"/>
    <w:rsid w:val="009C3C9E"/>
    <w:rsid w:val="009C4563"/>
    <w:rsid w:val="009C6882"/>
    <w:rsid w:val="009D26A7"/>
    <w:rsid w:val="009D3D91"/>
    <w:rsid w:val="009D45AF"/>
    <w:rsid w:val="009D7F6D"/>
    <w:rsid w:val="009E0EFB"/>
    <w:rsid w:val="009E125E"/>
    <w:rsid w:val="009E3FB5"/>
    <w:rsid w:val="009F3E48"/>
    <w:rsid w:val="009F545B"/>
    <w:rsid w:val="009F55C7"/>
    <w:rsid w:val="009F6362"/>
    <w:rsid w:val="00A000C1"/>
    <w:rsid w:val="00A00286"/>
    <w:rsid w:val="00A0557A"/>
    <w:rsid w:val="00A06157"/>
    <w:rsid w:val="00A0640D"/>
    <w:rsid w:val="00A06F9E"/>
    <w:rsid w:val="00A077E1"/>
    <w:rsid w:val="00A07D30"/>
    <w:rsid w:val="00A13391"/>
    <w:rsid w:val="00A14549"/>
    <w:rsid w:val="00A150B6"/>
    <w:rsid w:val="00A15853"/>
    <w:rsid w:val="00A21612"/>
    <w:rsid w:val="00A21A0E"/>
    <w:rsid w:val="00A2442E"/>
    <w:rsid w:val="00A24742"/>
    <w:rsid w:val="00A26A40"/>
    <w:rsid w:val="00A4122C"/>
    <w:rsid w:val="00A41BCA"/>
    <w:rsid w:val="00A429BD"/>
    <w:rsid w:val="00A45302"/>
    <w:rsid w:val="00A45AA2"/>
    <w:rsid w:val="00A471A7"/>
    <w:rsid w:val="00A47766"/>
    <w:rsid w:val="00A47D97"/>
    <w:rsid w:val="00A526F4"/>
    <w:rsid w:val="00A52861"/>
    <w:rsid w:val="00A533D4"/>
    <w:rsid w:val="00A54B35"/>
    <w:rsid w:val="00A55B03"/>
    <w:rsid w:val="00A56106"/>
    <w:rsid w:val="00A60394"/>
    <w:rsid w:val="00A60505"/>
    <w:rsid w:val="00A6513F"/>
    <w:rsid w:val="00A7069D"/>
    <w:rsid w:val="00A70A1A"/>
    <w:rsid w:val="00A7125C"/>
    <w:rsid w:val="00A72410"/>
    <w:rsid w:val="00A747D1"/>
    <w:rsid w:val="00A75222"/>
    <w:rsid w:val="00A761E1"/>
    <w:rsid w:val="00A8259F"/>
    <w:rsid w:val="00A86A78"/>
    <w:rsid w:val="00A86C55"/>
    <w:rsid w:val="00A8793D"/>
    <w:rsid w:val="00A87F74"/>
    <w:rsid w:val="00A902CB"/>
    <w:rsid w:val="00A94942"/>
    <w:rsid w:val="00A94D22"/>
    <w:rsid w:val="00A96094"/>
    <w:rsid w:val="00AA078B"/>
    <w:rsid w:val="00AA34F1"/>
    <w:rsid w:val="00AA3642"/>
    <w:rsid w:val="00AA6C70"/>
    <w:rsid w:val="00AA7109"/>
    <w:rsid w:val="00AB0710"/>
    <w:rsid w:val="00AB220B"/>
    <w:rsid w:val="00AB324C"/>
    <w:rsid w:val="00AB3AE9"/>
    <w:rsid w:val="00AB4177"/>
    <w:rsid w:val="00AB4A89"/>
    <w:rsid w:val="00AB6EDA"/>
    <w:rsid w:val="00AC12CA"/>
    <w:rsid w:val="00AC233A"/>
    <w:rsid w:val="00AC43F0"/>
    <w:rsid w:val="00AC6CDC"/>
    <w:rsid w:val="00AD2051"/>
    <w:rsid w:val="00AD3D3E"/>
    <w:rsid w:val="00AD6FF7"/>
    <w:rsid w:val="00AE3025"/>
    <w:rsid w:val="00AE371D"/>
    <w:rsid w:val="00AE43C7"/>
    <w:rsid w:val="00AE55E9"/>
    <w:rsid w:val="00AF5121"/>
    <w:rsid w:val="00AF7C7C"/>
    <w:rsid w:val="00B00124"/>
    <w:rsid w:val="00B02A31"/>
    <w:rsid w:val="00B02E73"/>
    <w:rsid w:val="00B05AEB"/>
    <w:rsid w:val="00B06353"/>
    <w:rsid w:val="00B068FF"/>
    <w:rsid w:val="00B0778B"/>
    <w:rsid w:val="00B1056E"/>
    <w:rsid w:val="00B1123C"/>
    <w:rsid w:val="00B11709"/>
    <w:rsid w:val="00B11B60"/>
    <w:rsid w:val="00B11B66"/>
    <w:rsid w:val="00B13D7F"/>
    <w:rsid w:val="00B13E2E"/>
    <w:rsid w:val="00B242E6"/>
    <w:rsid w:val="00B264B5"/>
    <w:rsid w:val="00B27547"/>
    <w:rsid w:val="00B27D6A"/>
    <w:rsid w:val="00B3556A"/>
    <w:rsid w:val="00B37650"/>
    <w:rsid w:val="00B37E6A"/>
    <w:rsid w:val="00B40290"/>
    <w:rsid w:val="00B40D1F"/>
    <w:rsid w:val="00B5184E"/>
    <w:rsid w:val="00B539E5"/>
    <w:rsid w:val="00B53BF4"/>
    <w:rsid w:val="00B567A2"/>
    <w:rsid w:val="00B612AC"/>
    <w:rsid w:val="00B6165A"/>
    <w:rsid w:val="00B6317C"/>
    <w:rsid w:val="00B65111"/>
    <w:rsid w:val="00B6550F"/>
    <w:rsid w:val="00B6599E"/>
    <w:rsid w:val="00B66032"/>
    <w:rsid w:val="00B66398"/>
    <w:rsid w:val="00B6782B"/>
    <w:rsid w:val="00B71CD0"/>
    <w:rsid w:val="00B7241B"/>
    <w:rsid w:val="00B72573"/>
    <w:rsid w:val="00B7384F"/>
    <w:rsid w:val="00B746BF"/>
    <w:rsid w:val="00B803F7"/>
    <w:rsid w:val="00B80A2B"/>
    <w:rsid w:val="00B81E97"/>
    <w:rsid w:val="00B81F35"/>
    <w:rsid w:val="00B8235C"/>
    <w:rsid w:val="00B826A6"/>
    <w:rsid w:val="00B875B2"/>
    <w:rsid w:val="00B87633"/>
    <w:rsid w:val="00B9305E"/>
    <w:rsid w:val="00BA060A"/>
    <w:rsid w:val="00BA3B9A"/>
    <w:rsid w:val="00BA3D77"/>
    <w:rsid w:val="00BA4A9A"/>
    <w:rsid w:val="00BA6A7F"/>
    <w:rsid w:val="00BA7208"/>
    <w:rsid w:val="00BA7A47"/>
    <w:rsid w:val="00BB024E"/>
    <w:rsid w:val="00BB15BA"/>
    <w:rsid w:val="00BB17DA"/>
    <w:rsid w:val="00BB548D"/>
    <w:rsid w:val="00BC0322"/>
    <w:rsid w:val="00BC3779"/>
    <w:rsid w:val="00BC4FA3"/>
    <w:rsid w:val="00BD0EE6"/>
    <w:rsid w:val="00BD249E"/>
    <w:rsid w:val="00BD2CC5"/>
    <w:rsid w:val="00BD3550"/>
    <w:rsid w:val="00BD4CFC"/>
    <w:rsid w:val="00BD64E4"/>
    <w:rsid w:val="00BE253D"/>
    <w:rsid w:val="00BE2A35"/>
    <w:rsid w:val="00BE342C"/>
    <w:rsid w:val="00BF1DAB"/>
    <w:rsid w:val="00BF3549"/>
    <w:rsid w:val="00BF5147"/>
    <w:rsid w:val="00BF65C0"/>
    <w:rsid w:val="00BF6C17"/>
    <w:rsid w:val="00C00953"/>
    <w:rsid w:val="00C02C60"/>
    <w:rsid w:val="00C0349B"/>
    <w:rsid w:val="00C04477"/>
    <w:rsid w:val="00C0587D"/>
    <w:rsid w:val="00C05F52"/>
    <w:rsid w:val="00C06684"/>
    <w:rsid w:val="00C07C5B"/>
    <w:rsid w:val="00C128E5"/>
    <w:rsid w:val="00C12FE0"/>
    <w:rsid w:val="00C152A2"/>
    <w:rsid w:val="00C17C30"/>
    <w:rsid w:val="00C20809"/>
    <w:rsid w:val="00C208DD"/>
    <w:rsid w:val="00C21D63"/>
    <w:rsid w:val="00C23797"/>
    <w:rsid w:val="00C24727"/>
    <w:rsid w:val="00C278F1"/>
    <w:rsid w:val="00C27A77"/>
    <w:rsid w:val="00C30898"/>
    <w:rsid w:val="00C31918"/>
    <w:rsid w:val="00C32D16"/>
    <w:rsid w:val="00C34234"/>
    <w:rsid w:val="00C34937"/>
    <w:rsid w:val="00C35A0C"/>
    <w:rsid w:val="00C416BE"/>
    <w:rsid w:val="00C41BC4"/>
    <w:rsid w:val="00C440F2"/>
    <w:rsid w:val="00C4765D"/>
    <w:rsid w:val="00C47F75"/>
    <w:rsid w:val="00C50B6D"/>
    <w:rsid w:val="00C57689"/>
    <w:rsid w:val="00C608C0"/>
    <w:rsid w:val="00C63940"/>
    <w:rsid w:val="00C65411"/>
    <w:rsid w:val="00C669CF"/>
    <w:rsid w:val="00C7046E"/>
    <w:rsid w:val="00C73005"/>
    <w:rsid w:val="00C741E1"/>
    <w:rsid w:val="00C75B6E"/>
    <w:rsid w:val="00C769BC"/>
    <w:rsid w:val="00C77834"/>
    <w:rsid w:val="00C86B74"/>
    <w:rsid w:val="00C8795F"/>
    <w:rsid w:val="00C905E8"/>
    <w:rsid w:val="00C90ABF"/>
    <w:rsid w:val="00C92ED3"/>
    <w:rsid w:val="00C94EFE"/>
    <w:rsid w:val="00C9699D"/>
    <w:rsid w:val="00C9783D"/>
    <w:rsid w:val="00CA1ADE"/>
    <w:rsid w:val="00CA3B53"/>
    <w:rsid w:val="00CA3C64"/>
    <w:rsid w:val="00CA7FF4"/>
    <w:rsid w:val="00CB0D4D"/>
    <w:rsid w:val="00CB11E7"/>
    <w:rsid w:val="00CB15C8"/>
    <w:rsid w:val="00CB266C"/>
    <w:rsid w:val="00CB3D6F"/>
    <w:rsid w:val="00CB3DC6"/>
    <w:rsid w:val="00CB4B28"/>
    <w:rsid w:val="00CB6D00"/>
    <w:rsid w:val="00CC3153"/>
    <w:rsid w:val="00CC3505"/>
    <w:rsid w:val="00CC605E"/>
    <w:rsid w:val="00CC62E0"/>
    <w:rsid w:val="00CD1225"/>
    <w:rsid w:val="00CD163F"/>
    <w:rsid w:val="00CD2A3C"/>
    <w:rsid w:val="00CD4835"/>
    <w:rsid w:val="00CD5E26"/>
    <w:rsid w:val="00CD6C5C"/>
    <w:rsid w:val="00CD7BA1"/>
    <w:rsid w:val="00CE0E56"/>
    <w:rsid w:val="00CE1105"/>
    <w:rsid w:val="00CE3698"/>
    <w:rsid w:val="00CE5470"/>
    <w:rsid w:val="00CF2422"/>
    <w:rsid w:val="00CF2927"/>
    <w:rsid w:val="00CF3712"/>
    <w:rsid w:val="00CF5372"/>
    <w:rsid w:val="00CF5AC7"/>
    <w:rsid w:val="00CF6006"/>
    <w:rsid w:val="00D001A3"/>
    <w:rsid w:val="00D00491"/>
    <w:rsid w:val="00D01545"/>
    <w:rsid w:val="00D0173A"/>
    <w:rsid w:val="00D0305E"/>
    <w:rsid w:val="00D038AF"/>
    <w:rsid w:val="00D10F08"/>
    <w:rsid w:val="00D1179C"/>
    <w:rsid w:val="00D1405E"/>
    <w:rsid w:val="00D15170"/>
    <w:rsid w:val="00D20A6A"/>
    <w:rsid w:val="00D20CAA"/>
    <w:rsid w:val="00D21D29"/>
    <w:rsid w:val="00D2248B"/>
    <w:rsid w:val="00D22ECB"/>
    <w:rsid w:val="00D23C8E"/>
    <w:rsid w:val="00D23F59"/>
    <w:rsid w:val="00D24644"/>
    <w:rsid w:val="00D252F9"/>
    <w:rsid w:val="00D2622E"/>
    <w:rsid w:val="00D263D8"/>
    <w:rsid w:val="00D27EAF"/>
    <w:rsid w:val="00D3078B"/>
    <w:rsid w:val="00D31253"/>
    <w:rsid w:val="00D3225D"/>
    <w:rsid w:val="00D32772"/>
    <w:rsid w:val="00D3597F"/>
    <w:rsid w:val="00D3601B"/>
    <w:rsid w:val="00D3642E"/>
    <w:rsid w:val="00D367C3"/>
    <w:rsid w:val="00D377F7"/>
    <w:rsid w:val="00D41411"/>
    <w:rsid w:val="00D43989"/>
    <w:rsid w:val="00D44B9A"/>
    <w:rsid w:val="00D45A79"/>
    <w:rsid w:val="00D50E9C"/>
    <w:rsid w:val="00D51AAE"/>
    <w:rsid w:val="00D52ECD"/>
    <w:rsid w:val="00D532D3"/>
    <w:rsid w:val="00D55CFD"/>
    <w:rsid w:val="00D57AEC"/>
    <w:rsid w:val="00D60357"/>
    <w:rsid w:val="00D60584"/>
    <w:rsid w:val="00D62E2F"/>
    <w:rsid w:val="00D63F29"/>
    <w:rsid w:val="00D67ACD"/>
    <w:rsid w:val="00D70EAC"/>
    <w:rsid w:val="00D72041"/>
    <w:rsid w:val="00D73B26"/>
    <w:rsid w:val="00D74764"/>
    <w:rsid w:val="00D76CA5"/>
    <w:rsid w:val="00D76E95"/>
    <w:rsid w:val="00D80632"/>
    <w:rsid w:val="00D83148"/>
    <w:rsid w:val="00D839E9"/>
    <w:rsid w:val="00D84EF1"/>
    <w:rsid w:val="00D87B9A"/>
    <w:rsid w:val="00D944F1"/>
    <w:rsid w:val="00D94BF2"/>
    <w:rsid w:val="00D94F66"/>
    <w:rsid w:val="00D96B0F"/>
    <w:rsid w:val="00D97CF3"/>
    <w:rsid w:val="00DA2387"/>
    <w:rsid w:val="00DA2B00"/>
    <w:rsid w:val="00DA4679"/>
    <w:rsid w:val="00DA4C13"/>
    <w:rsid w:val="00DA6036"/>
    <w:rsid w:val="00DB174D"/>
    <w:rsid w:val="00DB392F"/>
    <w:rsid w:val="00DB5A4D"/>
    <w:rsid w:val="00DB6796"/>
    <w:rsid w:val="00DB73C2"/>
    <w:rsid w:val="00DC1E79"/>
    <w:rsid w:val="00DC5A0F"/>
    <w:rsid w:val="00DC5FB9"/>
    <w:rsid w:val="00DC734B"/>
    <w:rsid w:val="00DD2537"/>
    <w:rsid w:val="00DD3966"/>
    <w:rsid w:val="00DD5030"/>
    <w:rsid w:val="00DD57C4"/>
    <w:rsid w:val="00DD763F"/>
    <w:rsid w:val="00DE0EEF"/>
    <w:rsid w:val="00DE2A81"/>
    <w:rsid w:val="00DE4278"/>
    <w:rsid w:val="00DE482A"/>
    <w:rsid w:val="00DE4CE3"/>
    <w:rsid w:val="00DE6633"/>
    <w:rsid w:val="00DE7279"/>
    <w:rsid w:val="00DE7E14"/>
    <w:rsid w:val="00DF0EC5"/>
    <w:rsid w:val="00DF183D"/>
    <w:rsid w:val="00DF313E"/>
    <w:rsid w:val="00DF4163"/>
    <w:rsid w:val="00E0035F"/>
    <w:rsid w:val="00E009B3"/>
    <w:rsid w:val="00E00A11"/>
    <w:rsid w:val="00E0200B"/>
    <w:rsid w:val="00E024A7"/>
    <w:rsid w:val="00E029F3"/>
    <w:rsid w:val="00E034CE"/>
    <w:rsid w:val="00E03878"/>
    <w:rsid w:val="00E0592C"/>
    <w:rsid w:val="00E11D10"/>
    <w:rsid w:val="00E203C6"/>
    <w:rsid w:val="00E268A6"/>
    <w:rsid w:val="00E305F5"/>
    <w:rsid w:val="00E30945"/>
    <w:rsid w:val="00E3152D"/>
    <w:rsid w:val="00E34875"/>
    <w:rsid w:val="00E37019"/>
    <w:rsid w:val="00E416A1"/>
    <w:rsid w:val="00E42000"/>
    <w:rsid w:val="00E503D8"/>
    <w:rsid w:val="00E5567F"/>
    <w:rsid w:val="00E56BAD"/>
    <w:rsid w:val="00E572C7"/>
    <w:rsid w:val="00E57475"/>
    <w:rsid w:val="00E57F7D"/>
    <w:rsid w:val="00E6270C"/>
    <w:rsid w:val="00E65C38"/>
    <w:rsid w:val="00E71AE5"/>
    <w:rsid w:val="00E721F9"/>
    <w:rsid w:val="00E72C75"/>
    <w:rsid w:val="00E734CA"/>
    <w:rsid w:val="00E74C91"/>
    <w:rsid w:val="00E756B2"/>
    <w:rsid w:val="00E8022E"/>
    <w:rsid w:val="00E80FA4"/>
    <w:rsid w:val="00E831E0"/>
    <w:rsid w:val="00E84825"/>
    <w:rsid w:val="00E91737"/>
    <w:rsid w:val="00E93BF9"/>
    <w:rsid w:val="00EA2709"/>
    <w:rsid w:val="00EA4329"/>
    <w:rsid w:val="00EA4735"/>
    <w:rsid w:val="00EA536C"/>
    <w:rsid w:val="00EA7416"/>
    <w:rsid w:val="00EA78D3"/>
    <w:rsid w:val="00EA7B61"/>
    <w:rsid w:val="00EB2FC9"/>
    <w:rsid w:val="00EC20D2"/>
    <w:rsid w:val="00EC4A0D"/>
    <w:rsid w:val="00EC66EE"/>
    <w:rsid w:val="00EC7D01"/>
    <w:rsid w:val="00EC7D10"/>
    <w:rsid w:val="00ED029F"/>
    <w:rsid w:val="00ED249C"/>
    <w:rsid w:val="00ED488E"/>
    <w:rsid w:val="00ED5315"/>
    <w:rsid w:val="00EE3351"/>
    <w:rsid w:val="00EE34E5"/>
    <w:rsid w:val="00EE3E08"/>
    <w:rsid w:val="00EE4580"/>
    <w:rsid w:val="00EE507B"/>
    <w:rsid w:val="00EE5152"/>
    <w:rsid w:val="00EE735A"/>
    <w:rsid w:val="00EE7992"/>
    <w:rsid w:val="00EF4FBD"/>
    <w:rsid w:val="00EF54F0"/>
    <w:rsid w:val="00EF71B7"/>
    <w:rsid w:val="00EF734F"/>
    <w:rsid w:val="00F001A3"/>
    <w:rsid w:val="00F00B3D"/>
    <w:rsid w:val="00F03EEB"/>
    <w:rsid w:val="00F043DC"/>
    <w:rsid w:val="00F04CFC"/>
    <w:rsid w:val="00F109B5"/>
    <w:rsid w:val="00F10A43"/>
    <w:rsid w:val="00F12B2F"/>
    <w:rsid w:val="00F131BB"/>
    <w:rsid w:val="00F14B55"/>
    <w:rsid w:val="00F14C5A"/>
    <w:rsid w:val="00F1690A"/>
    <w:rsid w:val="00F17554"/>
    <w:rsid w:val="00F2183A"/>
    <w:rsid w:val="00F24471"/>
    <w:rsid w:val="00F24A84"/>
    <w:rsid w:val="00F31511"/>
    <w:rsid w:val="00F32EAB"/>
    <w:rsid w:val="00F34222"/>
    <w:rsid w:val="00F361BD"/>
    <w:rsid w:val="00F37E6D"/>
    <w:rsid w:val="00F41124"/>
    <w:rsid w:val="00F41C6F"/>
    <w:rsid w:val="00F430F9"/>
    <w:rsid w:val="00F438D1"/>
    <w:rsid w:val="00F51F2B"/>
    <w:rsid w:val="00F55297"/>
    <w:rsid w:val="00F55A9C"/>
    <w:rsid w:val="00F6086C"/>
    <w:rsid w:val="00F6564D"/>
    <w:rsid w:val="00F667CA"/>
    <w:rsid w:val="00F678B2"/>
    <w:rsid w:val="00F67EC8"/>
    <w:rsid w:val="00F743BF"/>
    <w:rsid w:val="00F75EDA"/>
    <w:rsid w:val="00F812B8"/>
    <w:rsid w:val="00F84FFC"/>
    <w:rsid w:val="00F85693"/>
    <w:rsid w:val="00F86954"/>
    <w:rsid w:val="00F8772C"/>
    <w:rsid w:val="00F9151B"/>
    <w:rsid w:val="00F93334"/>
    <w:rsid w:val="00F93459"/>
    <w:rsid w:val="00F94720"/>
    <w:rsid w:val="00F9598A"/>
    <w:rsid w:val="00F968AC"/>
    <w:rsid w:val="00F97C96"/>
    <w:rsid w:val="00FA0999"/>
    <w:rsid w:val="00FA3DA6"/>
    <w:rsid w:val="00FA4572"/>
    <w:rsid w:val="00FA60EA"/>
    <w:rsid w:val="00FA7B51"/>
    <w:rsid w:val="00FB1A6D"/>
    <w:rsid w:val="00FB2403"/>
    <w:rsid w:val="00FB34DB"/>
    <w:rsid w:val="00FB4B19"/>
    <w:rsid w:val="00FB511B"/>
    <w:rsid w:val="00FB5387"/>
    <w:rsid w:val="00FB557D"/>
    <w:rsid w:val="00FB76F3"/>
    <w:rsid w:val="00FC1390"/>
    <w:rsid w:val="00FC5EE9"/>
    <w:rsid w:val="00FD0DFE"/>
    <w:rsid w:val="00FD24F6"/>
    <w:rsid w:val="00FD3C58"/>
    <w:rsid w:val="00FD65B5"/>
    <w:rsid w:val="00FD6670"/>
    <w:rsid w:val="00FE35F7"/>
    <w:rsid w:val="00FE3A30"/>
    <w:rsid w:val="00FE4C76"/>
    <w:rsid w:val="00FE58D3"/>
    <w:rsid w:val="00FE65FE"/>
    <w:rsid w:val="00FF025D"/>
    <w:rsid w:val="00FF0994"/>
    <w:rsid w:val="00FF2B70"/>
    <w:rsid w:val="00FF4979"/>
    <w:rsid w:val="00FF585E"/>
    <w:rsid w:val="00FF5BC4"/>
    <w:rsid w:val="00FF62E6"/>
    <w:rsid w:val="02BF15A4"/>
    <w:rsid w:val="03420041"/>
    <w:rsid w:val="039B5B6E"/>
    <w:rsid w:val="03E07A24"/>
    <w:rsid w:val="03E5503B"/>
    <w:rsid w:val="0490144A"/>
    <w:rsid w:val="052D77B3"/>
    <w:rsid w:val="053E4A03"/>
    <w:rsid w:val="05453FE3"/>
    <w:rsid w:val="059C3D33"/>
    <w:rsid w:val="0749768F"/>
    <w:rsid w:val="076A5F83"/>
    <w:rsid w:val="077F47F7"/>
    <w:rsid w:val="07A31495"/>
    <w:rsid w:val="0A801619"/>
    <w:rsid w:val="0ABA0A8F"/>
    <w:rsid w:val="0C9D4705"/>
    <w:rsid w:val="0C9E047D"/>
    <w:rsid w:val="0CD21ED4"/>
    <w:rsid w:val="0D51729D"/>
    <w:rsid w:val="0DBC0BBA"/>
    <w:rsid w:val="0E455054"/>
    <w:rsid w:val="0EAF24CD"/>
    <w:rsid w:val="0EAF6971"/>
    <w:rsid w:val="0ED858B5"/>
    <w:rsid w:val="11BA31BE"/>
    <w:rsid w:val="11F0177A"/>
    <w:rsid w:val="12086AC4"/>
    <w:rsid w:val="123F000C"/>
    <w:rsid w:val="1454163F"/>
    <w:rsid w:val="14C30A80"/>
    <w:rsid w:val="14CB202B"/>
    <w:rsid w:val="15593CD5"/>
    <w:rsid w:val="15D31197"/>
    <w:rsid w:val="165F4B2E"/>
    <w:rsid w:val="16C86232"/>
    <w:rsid w:val="17346B74"/>
    <w:rsid w:val="17397720"/>
    <w:rsid w:val="174C1201"/>
    <w:rsid w:val="18702CCD"/>
    <w:rsid w:val="188667B1"/>
    <w:rsid w:val="18B96FBF"/>
    <w:rsid w:val="196640D0"/>
    <w:rsid w:val="19CF1C75"/>
    <w:rsid w:val="19D13C3F"/>
    <w:rsid w:val="19D159ED"/>
    <w:rsid w:val="19D3298C"/>
    <w:rsid w:val="19DD0836"/>
    <w:rsid w:val="19E020D4"/>
    <w:rsid w:val="1A361CF4"/>
    <w:rsid w:val="1C220782"/>
    <w:rsid w:val="1E3B1FCF"/>
    <w:rsid w:val="1E965458"/>
    <w:rsid w:val="1F291E28"/>
    <w:rsid w:val="1F4C5B16"/>
    <w:rsid w:val="20684BD2"/>
    <w:rsid w:val="21244F9D"/>
    <w:rsid w:val="21CB313D"/>
    <w:rsid w:val="22BB36DF"/>
    <w:rsid w:val="23616034"/>
    <w:rsid w:val="23F70746"/>
    <w:rsid w:val="246E40F4"/>
    <w:rsid w:val="24B86128"/>
    <w:rsid w:val="24F37160"/>
    <w:rsid w:val="256736AA"/>
    <w:rsid w:val="25B61F3B"/>
    <w:rsid w:val="26461511"/>
    <w:rsid w:val="26812BFD"/>
    <w:rsid w:val="27193C93"/>
    <w:rsid w:val="27483067"/>
    <w:rsid w:val="274C0DA9"/>
    <w:rsid w:val="28C91847"/>
    <w:rsid w:val="291458F7"/>
    <w:rsid w:val="296D5007"/>
    <w:rsid w:val="2A514CC5"/>
    <w:rsid w:val="2A9E7B6E"/>
    <w:rsid w:val="2BFF463C"/>
    <w:rsid w:val="2C543C4A"/>
    <w:rsid w:val="2C550700"/>
    <w:rsid w:val="2C602C01"/>
    <w:rsid w:val="2CBA67B5"/>
    <w:rsid w:val="2CFE2B46"/>
    <w:rsid w:val="2DA82D38"/>
    <w:rsid w:val="2DAD7E15"/>
    <w:rsid w:val="2DF81327"/>
    <w:rsid w:val="2E183E69"/>
    <w:rsid w:val="2E3D31FA"/>
    <w:rsid w:val="2E3D58F0"/>
    <w:rsid w:val="2E6006B4"/>
    <w:rsid w:val="2F2B399A"/>
    <w:rsid w:val="2F6C023B"/>
    <w:rsid w:val="3049057C"/>
    <w:rsid w:val="31293F09"/>
    <w:rsid w:val="31EC5663"/>
    <w:rsid w:val="32D61E6F"/>
    <w:rsid w:val="34060532"/>
    <w:rsid w:val="34207846"/>
    <w:rsid w:val="34E82823"/>
    <w:rsid w:val="363C023D"/>
    <w:rsid w:val="36541A28"/>
    <w:rsid w:val="36794FEB"/>
    <w:rsid w:val="36CF02FF"/>
    <w:rsid w:val="37046FAB"/>
    <w:rsid w:val="37824373"/>
    <w:rsid w:val="38066D52"/>
    <w:rsid w:val="38C74734"/>
    <w:rsid w:val="38C84008"/>
    <w:rsid w:val="38D55A16"/>
    <w:rsid w:val="399414EB"/>
    <w:rsid w:val="3A2636DC"/>
    <w:rsid w:val="3A477214"/>
    <w:rsid w:val="3A816B64"/>
    <w:rsid w:val="3AA54601"/>
    <w:rsid w:val="3AD82C28"/>
    <w:rsid w:val="3BAE7626"/>
    <w:rsid w:val="3C952592"/>
    <w:rsid w:val="3DB63249"/>
    <w:rsid w:val="3E742C68"/>
    <w:rsid w:val="3EC87D98"/>
    <w:rsid w:val="3ED454B4"/>
    <w:rsid w:val="3F147FA7"/>
    <w:rsid w:val="3F780536"/>
    <w:rsid w:val="3FBF43B6"/>
    <w:rsid w:val="407E28AD"/>
    <w:rsid w:val="409874E5"/>
    <w:rsid w:val="40A37834"/>
    <w:rsid w:val="411D2CCF"/>
    <w:rsid w:val="41766CF7"/>
    <w:rsid w:val="41A575DC"/>
    <w:rsid w:val="42CE4911"/>
    <w:rsid w:val="430D368B"/>
    <w:rsid w:val="43827BD5"/>
    <w:rsid w:val="43E519BC"/>
    <w:rsid w:val="4453331F"/>
    <w:rsid w:val="453A003B"/>
    <w:rsid w:val="47B045C9"/>
    <w:rsid w:val="48561630"/>
    <w:rsid w:val="48A4239B"/>
    <w:rsid w:val="48C20A74"/>
    <w:rsid w:val="490B241B"/>
    <w:rsid w:val="490C1CEF"/>
    <w:rsid w:val="491C0184"/>
    <w:rsid w:val="4ACA3C0F"/>
    <w:rsid w:val="4AEE78FE"/>
    <w:rsid w:val="4B5C6F5D"/>
    <w:rsid w:val="4B5E6EA8"/>
    <w:rsid w:val="4C03387D"/>
    <w:rsid w:val="4D203FBB"/>
    <w:rsid w:val="4DC332C4"/>
    <w:rsid w:val="4DE96DFA"/>
    <w:rsid w:val="4EF5221E"/>
    <w:rsid w:val="4F310701"/>
    <w:rsid w:val="4F7D2FBE"/>
    <w:rsid w:val="50131BB5"/>
    <w:rsid w:val="50852AB2"/>
    <w:rsid w:val="50A13664"/>
    <w:rsid w:val="514A2E40"/>
    <w:rsid w:val="51850890"/>
    <w:rsid w:val="51FD48CA"/>
    <w:rsid w:val="52E361B6"/>
    <w:rsid w:val="5325232B"/>
    <w:rsid w:val="543071D9"/>
    <w:rsid w:val="548F4B9C"/>
    <w:rsid w:val="55B1434A"/>
    <w:rsid w:val="560B37EF"/>
    <w:rsid w:val="569E48CE"/>
    <w:rsid w:val="56F56943"/>
    <w:rsid w:val="57875362"/>
    <w:rsid w:val="57FE314A"/>
    <w:rsid w:val="581A61D6"/>
    <w:rsid w:val="581D2A6E"/>
    <w:rsid w:val="58234913"/>
    <w:rsid w:val="586E6936"/>
    <w:rsid w:val="58F46A27"/>
    <w:rsid w:val="59172716"/>
    <w:rsid w:val="592F5CB1"/>
    <w:rsid w:val="597638E0"/>
    <w:rsid w:val="599D70BF"/>
    <w:rsid w:val="5A05525C"/>
    <w:rsid w:val="5B411CCC"/>
    <w:rsid w:val="5BD90156"/>
    <w:rsid w:val="5BE03293"/>
    <w:rsid w:val="5C49708A"/>
    <w:rsid w:val="5CEB0141"/>
    <w:rsid w:val="5D687B8E"/>
    <w:rsid w:val="5E402ADC"/>
    <w:rsid w:val="5E5E2B95"/>
    <w:rsid w:val="5F6B5579"/>
    <w:rsid w:val="61406582"/>
    <w:rsid w:val="614C7B56"/>
    <w:rsid w:val="61966ECA"/>
    <w:rsid w:val="61B551C2"/>
    <w:rsid w:val="61F07FA8"/>
    <w:rsid w:val="622F0AD0"/>
    <w:rsid w:val="626F5370"/>
    <w:rsid w:val="62D33B51"/>
    <w:rsid w:val="6300246C"/>
    <w:rsid w:val="63DF2082"/>
    <w:rsid w:val="65150D04"/>
    <w:rsid w:val="65363F24"/>
    <w:rsid w:val="664B1C51"/>
    <w:rsid w:val="671A6A80"/>
    <w:rsid w:val="679A2E90"/>
    <w:rsid w:val="67E22141"/>
    <w:rsid w:val="68490412"/>
    <w:rsid w:val="693410C2"/>
    <w:rsid w:val="6A3273AF"/>
    <w:rsid w:val="6A4470E3"/>
    <w:rsid w:val="6AF44665"/>
    <w:rsid w:val="6B2C02A3"/>
    <w:rsid w:val="6BD666DD"/>
    <w:rsid w:val="6C3D67B2"/>
    <w:rsid w:val="6C55262A"/>
    <w:rsid w:val="6CEB7CE9"/>
    <w:rsid w:val="6CFD1C38"/>
    <w:rsid w:val="6D262BF6"/>
    <w:rsid w:val="6DB93944"/>
    <w:rsid w:val="6F9401C4"/>
    <w:rsid w:val="6FB2689C"/>
    <w:rsid w:val="6FBC07E2"/>
    <w:rsid w:val="6FF13869"/>
    <w:rsid w:val="711517D9"/>
    <w:rsid w:val="71F80EDE"/>
    <w:rsid w:val="72330169"/>
    <w:rsid w:val="72D354A8"/>
    <w:rsid w:val="73734595"/>
    <w:rsid w:val="73D17C39"/>
    <w:rsid w:val="73EA0CFB"/>
    <w:rsid w:val="74463A57"/>
    <w:rsid w:val="759113AF"/>
    <w:rsid w:val="76612DCA"/>
    <w:rsid w:val="768A0573"/>
    <w:rsid w:val="77125384"/>
    <w:rsid w:val="774753EB"/>
    <w:rsid w:val="77626DFA"/>
    <w:rsid w:val="777F79AC"/>
    <w:rsid w:val="784B0EB0"/>
    <w:rsid w:val="79DD174D"/>
    <w:rsid w:val="7A232871"/>
    <w:rsid w:val="7A8B6668"/>
    <w:rsid w:val="7B9003DA"/>
    <w:rsid w:val="7CA57EB5"/>
    <w:rsid w:val="7CEB0286"/>
    <w:rsid w:val="7DC600E3"/>
    <w:rsid w:val="7E024E93"/>
    <w:rsid w:val="7ED556D6"/>
    <w:rsid w:val="7F037115"/>
    <w:rsid w:val="7F0C3309"/>
  </w:rsids>
  <w:docVars>
    <w:docVar w:name="commondata" w:val="eyJoZGlkIjoiZWI2YzE2ZGZhM2Y3MWU5NWYwNmY2ODI1ZmI5YmQyYT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qFormat="1"/>
    <w:lsdException w:name="footnote reference" w:semiHidden="0" w:uiPriority="0" w:unhideWhenUsed="0"/>
    <w:lsdException w:name="annotation reference"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qFormat="1"/>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lsdException w:name="Body Text First Indent 2" w:semiHidden="0" w:uiPriority="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lsdException w:name="HTML Variable" w:semiHidden="0" w:uiPriority="0" w:unhideWhenUsed="0"/>
    <w:lsdException w:name="Normal Table" w:qFormat="1"/>
    <w:lsdException w:name="annotation subject" w:semiHidden="0" w:qFormat="1"/>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List2"/>
    <w:qFormat/>
    <w:pPr>
      <w:widowControl w:val="0"/>
      <w:jc w:val="both"/>
    </w:pPr>
    <w:rPr>
      <w:rFonts w:ascii="Times New Roman" w:eastAsia="宋体" w:hAnsi="Times New Roman" w:cs="Times New Roman"/>
      <w:kern w:val="2"/>
      <w:sz w:val="21"/>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List2">
    <w:name w:val="List 2"/>
    <w:basedOn w:val="Normal"/>
    <w:qFormat/>
    <w:pPr>
      <w:ind w:left="400" w:hanging="200" w:leftChars="200" w:hangingChars="200"/>
    </w:pPr>
    <w:rPr>
      <w:szCs w:val="24"/>
    </w:rPr>
  </w:style>
  <w:style w:type="paragraph" w:styleId="NormalIndent">
    <w:name w:val="Normal Indent"/>
    <w:basedOn w:val="Normal"/>
    <w:qFormat/>
    <w:pPr>
      <w:ind w:firstLine="420" w:firstLineChars="200"/>
    </w:pPr>
  </w:style>
  <w:style w:type="paragraph" w:styleId="CommentText">
    <w:name w:val="annotation text"/>
    <w:basedOn w:val="Normal"/>
    <w:link w:val="Char"/>
    <w:uiPriority w:val="99"/>
    <w:qFormat/>
    <w:pPr>
      <w:jc w:val="left"/>
    </w:pPr>
  </w:style>
  <w:style w:type="paragraph" w:styleId="BodyText">
    <w:name w:val="Body Text"/>
    <w:basedOn w:val="Normal"/>
    <w:next w:val="Normal"/>
    <w:qFormat/>
    <w:pPr>
      <w:spacing w:after="120"/>
    </w:pPr>
  </w:style>
  <w:style w:type="paragraph" w:styleId="BodyTextIndent">
    <w:name w:val="Body Text Indent"/>
    <w:basedOn w:val="Normal"/>
    <w:next w:val="EnvelopeReturn"/>
    <w:qFormat/>
    <w:pPr>
      <w:tabs>
        <w:tab w:val="left" w:pos="0"/>
      </w:tabs>
      <w:ind w:firstLine="540"/>
    </w:pPr>
    <w:rPr>
      <w:rFonts w:eastAsia="楷体_GB2312"/>
      <w:b/>
      <w:sz w:val="28"/>
    </w:rPr>
  </w:style>
  <w:style w:type="paragraph" w:styleId="EnvelopeReturn">
    <w:name w:val="envelope return"/>
    <w:basedOn w:val="Normal"/>
    <w:qFormat/>
    <w:pPr>
      <w:snapToGrid w:val="0"/>
    </w:pPr>
    <w:rPr>
      <w:rFonts w:ascii="Arial" w:hAnsi="Arial"/>
    </w:rPr>
  </w:style>
  <w:style w:type="paragraph" w:styleId="TOC3">
    <w:name w:val="toc 3"/>
    <w:basedOn w:val="Normal"/>
    <w:next w:val="Normal"/>
    <w:qFormat/>
    <w:pPr>
      <w:tabs>
        <w:tab w:val="right" w:leader="dot" w:pos="9345"/>
      </w:tabs>
      <w:ind w:left="420"/>
      <w:jc w:val="left"/>
    </w:pPr>
    <w:rPr>
      <w:bCs/>
      <w:iCs/>
      <w:szCs w:val="21"/>
    </w:rPr>
  </w:style>
  <w:style w:type="paragraph" w:styleId="Date">
    <w:name w:val="Date"/>
    <w:basedOn w:val="Normal"/>
    <w:next w:val="Normal"/>
    <w:qFormat/>
    <w:pPr>
      <w:ind w:left="100" w:leftChars="2500"/>
    </w:pPr>
  </w:style>
  <w:style w:type="paragraph" w:styleId="BodyTextIndent2">
    <w:name w:val="Body Text Indent 2"/>
    <w:basedOn w:val="Normal"/>
    <w:qFormat/>
    <w:pPr>
      <w:spacing w:after="120" w:line="480" w:lineRule="auto"/>
      <w:ind w:left="420" w:leftChars="200"/>
    </w:pPr>
  </w:style>
  <w:style w:type="paragraph" w:styleId="BalloonText">
    <w:name w:val="Balloon Text"/>
    <w:basedOn w:val="Normal"/>
    <w:link w:val="Char0"/>
    <w:uiPriority w:val="99"/>
    <w:qFormat/>
    <w:rPr>
      <w:sz w:val="18"/>
    </w:rPr>
  </w:style>
  <w:style w:type="paragraph" w:styleId="Footer">
    <w:name w:val="footer"/>
    <w:basedOn w:val="Normal"/>
    <w:link w:val="Char1"/>
    <w:uiPriority w:val="99"/>
    <w:qFormat/>
    <w:pPr>
      <w:tabs>
        <w:tab w:val="center" w:pos="4153"/>
        <w:tab w:val="right" w:pos="8306"/>
      </w:tabs>
      <w:snapToGrid w:val="0"/>
      <w:jc w:val="left"/>
    </w:pPr>
    <w:rPr>
      <w:sz w:val="18"/>
    </w:rPr>
  </w:style>
  <w:style w:type="paragraph" w:styleId="Header">
    <w:name w:val="header"/>
    <w:basedOn w:val="Normal"/>
    <w:link w:val="Char2"/>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Normal"/>
    <w:next w:val="Normal"/>
    <w:qFormat/>
    <w:pPr>
      <w:tabs>
        <w:tab w:val="right" w:leader="dot" w:pos="9345"/>
      </w:tabs>
      <w:spacing w:after="120" w:line="360" w:lineRule="auto"/>
      <w:jc w:val="left"/>
    </w:pPr>
    <w:rPr>
      <w:b/>
      <w:sz w:val="28"/>
      <w:szCs w:val="28"/>
    </w:rPr>
  </w:style>
  <w:style w:type="paragraph" w:styleId="TOC2">
    <w:name w:val="toc 2"/>
    <w:basedOn w:val="Normal"/>
    <w:next w:val="Normal"/>
    <w:qFormat/>
    <w:pPr>
      <w:tabs>
        <w:tab w:val="right" w:leader="dot" w:pos="9345"/>
      </w:tabs>
      <w:spacing w:line="360" w:lineRule="auto"/>
      <w:ind w:left="210"/>
      <w:jc w:val="left"/>
    </w:pPr>
    <w:rPr>
      <w:smallCaps/>
      <w:szCs w:val="24"/>
    </w:rPr>
  </w:style>
  <w:style w:type="paragraph" w:styleId="NormalWeb">
    <w:name w:val="Normal (Web)"/>
    <w:basedOn w:val="Normal"/>
    <w:qFormat/>
    <w:pPr>
      <w:spacing w:before="100" w:beforeAutospacing="1" w:after="100" w:afterAutospacing="1"/>
      <w:jc w:val="left"/>
    </w:pPr>
    <w:rPr>
      <w:kern w:val="0"/>
      <w:sz w:val="24"/>
    </w:rPr>
  </w:style>
  <w:style w:type="paragraph" w:styleId="CommentSubject">
    <w:name w:val="annotation subject"/>
    <w:basedOn w:val="CommentText"/>
    <w:next w:val="CommentText"/>
    <w:link w:val="Char10"/>
    <w:uiPriority w:val="99"/>
    <w:unhideWhenUsed/>
    <w:qFormat/>
    <w:rPr>
      <w:b/>
      <w:bCs/>
    </w:rPr>
  </w:style>
  <w:style w:type="paragraph" w:styleId="BodyTextFirstIndent2">
    <w:name w:val="Body Text First Indent 2"/>
    <w:basedOn w:val="BodyTextIndent"/>
    <w:next w:val="Normal"/>
    <w:unhideWhenUsed/>
    <w:qFormat/>
    <w:pPr>
      <w:widowControl/>
      <w:spacing w:after="120" w:line="357" w:lineRule="atLeast"/>
      <w:ind w:left="420" w:firstLine="420" w:leftChars="200" w:firstLineChars="200"/>
      <w:textAlignment w:val="baseline"/>
    </w:pPr>
    <w:rPr>
      <w:rFonts w:eastAsia="Times New Roman"/>
      <w:color w:val="000000"/>
      <w:sz w:val="21"/>
      <w:szCs w:val="22"/>
      <w:u w:color="00000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Pr>
      <w:b/>
      <w:bCs/>
      <w:shd w:val="clear" w:color="auto" w:fill="D9534F"/>
    </w:rPr>
  </w:style>
  <w:style w:type="character" w:styleId="PageNumber">
    <w:name w:val="page number"/>
    <w:basedOn w:val="DefaultParagraphFont"/>
    <w:qFormat/>
  </w:style>
  <w:style w:type="character" w:styleId="FollowedHyperlink">
    <w:name w:val="FollowedHyperlink"/>
    <w:qFormat/>
    <w:rPr>
      <w:color w:val="000000"/>
      <w:u w:val="none"/>
    </w:rPr>
  </w:style>
  <w:style w:type="character" w:styleId="HTMLDefinition">
    <w:name w:val="HTML Definition"/>
    <w:basedOn w:val="DefaultParagraphFont"/>
    <w:qFormat/>
    <w:rPr>
      <w:i/>
      <w:iCs/>
    </w:rPr>
  </w:style>
  <w:style w:type="character" w:styleId="Hyperlink">
    <w:name w:val="Hyperlink"/>
    <w:qFormat/>
    <w:rPr>
      <w:color w:val="000000"/>
      <w:u w:val="none"/>
    </w:rPr>
  </w:style>
  <w:style w:type="character" w:styleId="HTMLCode">
    <w:name w:val="HTML Code"/>
    <w:basedOn w:val="DefaultParagraphFont"/>
    <w:qFormat/>
    <w:rPr>
      <w:rFonts w:ascii="Consolas" w:eastAsia="Consolas" w:hAnsi="Consolas" w:cs="Consolas"/>
      <w:color w:val="C7254E"/>
      <w:sz w:val="21"/>
      <w:szCs w:val="21"/>
      <w:shd w:val="clear" w:color="auto" w:fill="F9F2F4"/>
    </w:rPr>
  </w:style>
  <w:style w:type="character" w:styleId="CommentReference">
    <w:name w:val="annotation reference"/>
    <w:uiPriority w:val="99"/>
    <w:semiHidden/>
    <w:qFormat/>
    <w:rPr>
      <w:sz w:val="21"/>
      <w:szCs w:val="21"/>
    </w:rPr>
  </w:style>
  <w:style w:type="character" w:styleId="HTMLKeyboard">
    <w:name w:val="HTML Keyboard"/>
    <w:basedOn w:val="DefaultParagraphFont"/>
    <w:qFormat/>
    <w:rPr>
      <w:rFonts w:ascii="Consolas" w:eastAsia="Consolas" w:hAnsi="Consolas" w:cs="Consolas" w:hint="default"/>
      <w:color w:val="FFFFFF"/>
      <w:sz w:val="21"/>
      <w:szCs w:val="21"/>
      <w:shd w:val="clear" w:color="auto" w:fill="333333"/>
    </w:rPr>
  </w:style>
  <w:style w:type="character" w:styleId="HTMLSample">
    <w:name w:val="HTML Sample"/>
    <w:basedOn w:val="DefaultParagraphFont"/>
    <w:qFormat/>
    <w:rPr>
      <w:rFonts w:ascii="Consolas" w:eastAsia="Consolas" w:hAnsi="Consolas" w:cs="Consolas" w:hint="default"/>
      <w:sz w:val="21"/>
      <w:szCs w:val="21"/>
    </w:rPr>
  </w:style>
  <w:style w:type="paragraph" w:customStyle="1" w:styleId="Default">
    <w:name w:val="Default"/>
    <w:uiPriority w:val="99"/>
    <w:qFormat/>
    <w:pPr>
      <w:widowControl w:val="0"/>
      <w:autoSpaceDE w:val="0"/>
      <w:autoSpaceDN w:val="0"/>
      <w:adjustRightInd w:val="0"/>
    </w:pPr>
    <w:rPr>
      <w:rFonts w:ascii="宋体" w:eastAsia="宋体" w:hAnsi="Times New Roman" w:cs="Times New Roman"/>
      <w:color w:val="000000"/>
      <w:sz w:val="24"/>
      <w:lang w:val="en-US" w:eastAsia="zh-CN" w:bidi="ar-SA"/>
    </w:rPr>
  </w:style>
  <w:style w:type="character" w:customStyle="1" w:styleId="Char">
    <w:name w:val="批注文字 Char"/>
    <w:link w:val="CommentText"/>
    <w:uiPriority w:val="99"/>
    <w:qFormat/>
    <w:rPr>
      <w:kern w:val="2"/>
      <w:sz w:val="21"/>
    </w:rPr>
  </w:style>
  <w:style w:type="character" w:customStyle="1" w:styleId="Char0">
    <w:name w:val="批注框文本 Char"/>
    <w:link w:val="BalloonText"/>
    <w:uiPriority w:val="99"/>
    <w:qFormat/>
    <w:rPr>
      <w:kern w:val="2"/>
      <w:sz w:val="18"/>
    </w:rPr>
  </w:style>
  <w:style w:type="character" w:customStyle="1" w:styleId="Char1">
    <w:name w:val="页脚 Char"/>
    <w:link w:val="Footer"/>
    <w:uiPriority w:val="99"/>
    <w:qFormat/>
    <w:rPr>
      <w:kern w:val="2"/>
      <w:sz w:val="18"/>
    </w:rPr>
  </w:style>
  <w:style w:type="character" w:customStyle="1" w:styleId="Char2">
    <w:name w:val="页眉 Char"/>
    <w:link w:val="Header"/>
    <w:uiPriority w:val="99"/>
    <w:qFormat/>
    <w:rPr>
      <w:kern w:val="2"/>
      <w:sz w:val="18"/>
    </w:rPr>
  </w:style>
  <w:style w:type="character" w:customStyle="1" w:styleId="Char3">
    <w:name w:val="批注主题 Char"/>
    <w:basedOn w:val="Char"/>
    <w:link w:val="CommentSubject"/>
    <w:qFormat/>
  </w:style>
  <w:style w:type="character" w:customStyle="1" w:styleId="Char10">
    <w:name w:val="批注主题 Char1"/>
    <w:link w:val="CommentSubject"/>
    <w:uiPriority w:val="99"/>
    <w:qFormat/>
    <w:rPr>
      <w:b/>
      <w:bCs/>
      <w:kern w:val="2"/>
      <w:sz w:val="21"/>
    </w:rPr>
  </w:style>
  <w:style w:type="character" w:customStyle="1" w:styleId="2Char">
    <w:name w:val="正文缩进2格 Char"/>
    <w:link w:val="2"/>
    <w:qFormat/>
    <w:rPr>
      <w:rFonts w:ascii="仿宋_GB2312" w:eastAsia="仿宋_GB2312" w:hAnsi="宋体"/>
      <w:kern w:val="2"/>
      <w:sz w:val="31"/>
      <w:szCs w:val="28"/>
      <w:lang w:val="en-US" w:eastAsia="zh-CN" w:bidi="ar-SA"/>
    </w:rPr>
  </w:style>
  <w:style w:type="paragraph" w:customStyle="1" w:styleId="2">
    <w:name w:val="正文缩进2格"/>
    <w:basedOn w:val="Normal"/>
    <w:link w:val="2Char"/>
    <w:qFormat/>
    <w:pPr>
      <w:spacing w:line="600" w:lineRule="exact"/>
      <w:ind w:firstLine="639" w:firstLineChars="206"/>
    </w:pPr>
    <w:rPr>
      <w:rFonts w:ascii="仿宋_GB2312" w:eastAsia="仿宋_GB2312" w:hAnsi="宋体"/>
      <w:sz w:val="31"/>
      <w:szCs w:val="28"/>
    </w:rPr>
  </w:style>
  <w:style w:type="paragraph" w:customStyle="1" w:styleId="p0">
    <w:name w:val="p0"/>
    <w:basedOn w:val="Normal"/>
    <w:qFormat/>
    <w:pPr>
      <w:widowControl/>
      <w:spacing w:before="100" w:beforeAutospacing="1" w:after="100" w:afterAutospacing="1"/>
      <w:jc w:val="left"/>
    </w:pPr>
    <w:rPr>
      <w:rFonts w:ascii="宋体" w:hAnsi="宋体" w:cs="宋体"/>
      <w:kern w:val="0"/>
      <w:sz w:val="24"/>
      <w:szCs w:val="24"/>
    </w:rPr>
  </w:style>
  <w:style w:type="paragraph" w:customStyle="1" w:styleId="Char4">
    <w:name w:val="Char"/>
    <w:basedOn w:val="Normal"/>
    <w:qFormat/>
    <w:rPr>
      <w:szCs w:val="24"/>
    </w:rPr>
  </w:style>
  <w:style w:type="paragraph" w:customStyle="1" w:styleId="ParaChar">
    <w:name w:val="默认段落字体 Para Char"/>
    <w:basedOn w:val="Normal"/>
    <w:qFormat/>
  </w:style>
  <w:style w:type="paragraph" w:customStyle="1" w:styleId="z-1">
    <w:name w:val="z-窗体顶端1"/>
    <w:basedOn w:val="Normal"/>
    <w:next w:val="Normal"/>
    <w:qFormat/>
    <w:pPr>
      <w:pBdr>
        <w:bottom w:val="single" w:sz="6" w:space="1" w:color="auto"/>
      </w:pBdr>
      <w:jc w:val="center"/>
    </w:pPr>
    <w:rPr>
      <w:rFonts w:ascii="Arial"/>
      <w:vanish/>
      <w:sz w:val="16"/>
    </w:rPr>
  </w:style>
  <w:style w:type="paragraph" w:customStyle="1" w:styleId="z-10">
    <w:name w:val="z-窗体底端1"/>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34"/>
    <w:qFormat/>
    <w:pPr>
      <w:ind w:firstLine="420" w:firstLineChars="200"/>
    </w:pPr>
    <w:rPr>
      <w:rFonts w:ascii="Calibri" w:hAnsi="Calibri"/>
      <w:szCs w:val="24"/>
    </w:rPr>
  </w:style>
  <w:style w:type="character" w:customStyle="1" w:styleId="a">
    <w:name w:val="批注文字 字符"/>
    <w:uiPriority w:val="99"/>
    <w:qFormat/>
    <w:rPr>
      <w:rFonts w:ascii="Times New Roman" w:hAnsi="Times New Roman"/>
      <w:kern w:val="2"/>
      <w:sz w:val="21"/>
    </w:rPr>
  </w:style>
  <w:style w:type="character" w:customStyle="1" w:styleId="font11">
    <w:name w:val="font11"/>
    <w:qFormat/>
    <w:rPr>
      <w:rFonts w:ascii="Arial" w:hAnsi="Arial" w:cs="Arial"/>
      <w:color w:val="000000"/>
      <w:sz w:val="21"/>
      <w:szCs w:val="21"/>
      <w:u w:val="none"/>
    </w:rPr>
  </w:style>
  <w:style w:type="character" w:customStyle="1" w:styleId="first-child1">
    <w:name w:val="first-child1"/>
    <w:basedOn w:val="DefaultParagraphFont"/>
    <w:qFormat/>
    <w:rPr>
      <w:color w:val="1F3149"/>
      <w:sz w:val="19"/>
      <w:szCs w:val="19"/>
    </w:rPr>
  </w:style>
  <w:style w:type="character" w:customStyle="1" w:styleId="first-child2">
    <w:name w:val="first-child2"/>
    <w:basedOn w:val="DefaultParagraphFont"/>
    <w:qFormat/>
    <w:rPr>
      <w:color w:val="1F3149"/>
      <w:sz w:val="19"/>
      <w:szCs w:val="19"/>
    </w:rPr>
  </w:style>
  <w:style w:type="character" w:customStyle="1" w:styleId="icongys">
    <w:name w:val="icon_gys"/>
    <w:basedOn w:val="DefaultParagraphFont"/>
    <w:qFormat/>
    <w:rPr>
      <w:sz w:val="16"/>
      <w:szCs w:val="16"/>
    </w:rPr>
  </w:style>
  <w:style w:type="character" w:customStyle="1" w:styleId="xiadan">
    <w:name w:val="xiadan"/>
    <w:basedOn w:val="DefaultParagraphFont"/>
    <w:qFormat/>
    <w:rPr>
      <w:shd w:val="clear" w:color="auto" w:fill="E4393C"/>
    </w:rPr>
  </w:style>
  <w:style w:type="character" w:customStyle="1" w:styleId="fr">
    <w:name w:val="fr"/>
    <w:basedOn w:val="DefaultParagraphFont"/>
    <w:qFormat/>
  </w:style>
  <w:style w:type="character" w:customStyle="1" w:styleId="iconds">
    <w:name w:val="icon_ds"/>
    <w:basedOn w:val="DefaultParagraphFont"/>
    <w:qFormat/>
  </w:style>
  <w:style w:type="character" w:customStyle="1" w:styleId="iconds1">
    <w:name w:val="icon_ds1"/>
    <w:basedOn w:val="DefaultParagraphFont"/>
    <w:qFormat/>
    <w:rPr>
      <w:sz w:val="16"/>
      <w:szCs w:val="16"/>
    </w:rPr>
  </w:style>
  <w:style w:type="table" w:customStyle="1" w:styleId="TableNormal0">
    <w:name w:val="Table Normal_0"/>
    <w:unhideWhenUsed/>
    <w:qFormat/>
    <w:tblPr>
      <w:tblCellMar>
        <w:top w:w="0" w:type="dxa"/>
        <w:left w:w="0" w:type="dxa"/>
        <w:bottom w:w="0" w:type="dxa"/>
        <w:right w:w="0" w:type="dxa"/>
      </w:tblCellMar>
    </w:tblPr>
  </w:style>
  <w:style w:type="paragraph" w:customStyle="1" w:styleId="TableParagraph">
    <w:name w:val="Table Paragraph"/>
    <w:basedOn w:val="Normal"/>
    <w:uiPriority w:val="1"/>
    <w:qFormat/>
    <w:rPr>
      <w:rFonts w:ascii="宋体" w:hAnsi="宋体" w:cs="宋体"/>
    </w:rPr>
  </w:style>
  <w:style w:type="character" w:customStyle="1" w:styleId="first-child">
    <w:name w:val="first-child"/>
    <w:basedOn w:val="DefaultParagraphFont"/>
    <w:rPr>
      <w:color w:val="1F3149"/>
      <w:sz w:val="24"/>
      <w:szCs w:val="24"/>
    </w:rPr>
  </w:style>
  <w:style w:type="character" w:customStyle="1" w:styleId="first-child3">
    <w:name w:val="first-child3"/>
    <w:basedOn w:val="DefaultParagraphFont"/>
    <w:qFormat/>
  </w:style>
  <w:style w:type="character" w:customStyle="1" w:styleId="color-yellow">
    <w:name w:val="color-yellow"/>
    <w:basedOn w:val="DefaultParagraphFont"/>
    <w:qFormat/>
    <w:rPr>
      <w:color w:val="FAAD14"/>
      <w:sz w:val="18"/>
      <w:szCs w:val="18"/>
      <w:bdr w:val="single" w:sz="6" w:space="0" w:color="FAAD14"/>
    </w:rPr>
  </w:style>
  <w:style w:type="character" w:customStyle="1" w:styleId="color-yellow1">
    <w:name w:val="color-yellow1"/>
    <w:basedOn w:val="DefaultParagraphFont"/>
    <w:qFormat/>
    <w:rPr>
      <w:color w:val="1F3149"/>
      <w:sz w:val="21"/>
      <w:szCs w:val="21"/>
      <w:bdr w:val="single" w:sz="6" w:space="0" w:color="FAAD14"/>
    </w:rPr>
  </w:style>
  <w:style w:type="character" w:customStyle="1" w:styleId="color-blue">
    <w:name w:val="color-blue"/>
    <w:basedOn w:val="DefaultParagraphFont"/>
    <w:rPr>
      <w:color w:val="3F88CA"/>
      <w:sz w:val="18"/>
      <w:szCs w:val="18"/>
      <w:bdr w:val="single" w:sz="6" w:space="0" w:color="3F88CA"/>
    </w:rPr>
  </w:style>
  <w:style w:type="character" w:customStyle="1" w:styleId="first-child4">
    <w:name w:val="first-child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6DAE9FC-3A6B-4273-9FEA-710DF91E7B3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24064</Words>
  <Characters>25211</Characters>
  <Application>Microsoft Office Word</Application>
  <DocSecurity>0</DocSecurity>
  <Lines>185</Lines>
  <Paragraphs>52</Paragraphs>
  <ScaleCrop>false</ScaleCrop>
  <Company>安阳市政府采购中心</Company>
  <LinksUpToDate>false</LinksUpToDate>
  <CharactersWithSpaces>25866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郑璀</dc:creator>
  <cp:lastModifiedBy>麻雀</cp:lastModifiedBy>
  <cp:revision>10</cp:revision>
  <cp:lastPrinted>2023-07-10T06:57:00Z</cp:lastPrinted>
  <dcterms:created xsi:type="dcterms:W3CDTF">2023-04-24T03:07:00Z</dcterms:created>
  <dcterms:modified xsi:type="dcterms:W3CDTF">2023-09-08T06:22:08Z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B31B43C804114C199D6551DB779311CA_13</vt:lpwstr>
  </property>
  <property fmtid="{D5CDD505-2E9C-101B-9397-08002B2CF9AE}" pid="3" name="KSOProductBuildVer">
    <vt:lpwstr>2052-12.1.0.15374</vt:lpwstr>
  </property>
</Properties>
</file>